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248" w:rsidRDefault="00860248" w:rsidP="000674B5">
      <w:pPr>
        <w:jc w:val="center"/>
        <w:rPr>
          <w:b/>
          <w:bCs/>
          <w:sz w:val="28"/>
          <w:szCs w:val="28"/>
        </w:rPr>
      </w:pPr>
      <w:r>
        <w:rPr>
          <w:b/>
          <w:bCs/>
          <w:sz w:val="28"/>
          <w:szCs w:val="28"/>
        </w:rPr>
        <w:t>PHỤ LỤC 01</w:t>
      </w:r>
    </w:p>
    <w:p w:rsidR="00860248" w:rsidRDefault="00640DD9" w:rsidP="000674B5">
      <w:pPr>
        <w:jc w:val="center"/>
        <w:rPr>
          <w:b/>
          <w:bCs/>
          <w:sz w:val="28"/>
          <w:szCs w:val="28"/>
        </w:rPr>
      </w:pPr>
      <w:r>
        <w:rPr>
          <w:b/>
          <w:bCs/>
          <w:sz w:val="28"/>
          <w:szCs w:val="28"/>
        </w:rPr>
        <w:t xml:space="preserve">BẢNG TỔNG HỢP VƯỚNG MẮC, BẤT CẬP </w:t>
      </w:r>
    </w:p>
    <w:p w:rsidR="00C06652" w:rsidRDefault="00640DD9" w:rsidP="000674B5">
      <w:pPr>
        <w:jc w:val="center"/>
      </w:pPr>
      <w:r>
        <w:rPr>
          <w:b/>
          <w:bCs/>
          <w:sz w:val="28"/>
          <w:szCs w:val="28"/>
        </w:rPr>
        <w:t>TRONG QUÁ TRÌNH THI HÀNH</w:t>
      </w:r>
      <w:r w:rsidR="00860248">
        <w:t xml:space="preserve"> </w:t>
      </w:r>
      <w:r>
        <w:rPr>
          <w:b/>
          <w:bCs/>
          <w:sz w:val="28"/>
          <w:szCs w:val="28"/>
        </w:rPr>
        <w:t>NGHỊ ĐỊNH SỐ 91/2005/NĐ-CP</w:t>
      </w:r>
      <w:r w:rsidR="00860248">
        <w:rPr>
          <w:rStyle w:val="FootnoteReference"/>
          <w:b/>
          <w:bCs/>
          <w:sz w:val="28"/>
          <w:szCs w:val="28"/>
        </w:rPr>
        <w:footnoteReference w:id="1"/>
      </w:r>
      <w:r>
        <w:rPr>
          <w:b/>
          <w:bCs/>
          <w:sz w:val="28"/>
          <w:szCs w:val="28"/>
        </w:rPr>
        <w:t xml:space="preserve"> </w:t>
      </w:r>
    </w:p>
    <w:p w:rsidR="000674B5" w:rsidRDefault="00640DD9" w:rsidP="000674B5">
      <w:pPr>
        <w:jc w:val="center"/>
        <w:rPr>
          <w:i/>
          <w:iCs/>
          <w:sz w:val="26"/>
          <w:szCs w:val="26"/>
        </w:rPr>
      </w:pPr>
      <w:r>
        <w:rPr>
          <w:i/>
          <w:iCs/>
          <w:sz w:val="26"/>
          <w:szCs w:val="26"/>
        </w:rPr>
        <w:t>(</w:t>
      </w:r>
      <w:r w:rsidR="00860248">
        <w:rPr>
          <w:i/>
          <w:iCs/>
          <w:sz w:val="26"/>
          <w:szCs w:val="26"/>
        </w:rPr>
        <w:t xml:space="preserve">Kèm theo Báo cáo số             /BC-BVHTTDL ngày      tháng      năm 2026 </w:t>
      </w:r>
    </w:p>
    <w:p w:rsidR="00C06652" w:rsidRDefault="00860248" w:rsidP="000674B5">
      <w:pPr>
        <w:jc w:val="center"/>
        <w:rPr>
          <w:i/>
          <w:iCs/>
          <w:sz w:val="26"/>
          <w:szCs w:val="26"/>
        </w:rPr>
      </w:pPr>
      <w:r>
        <w:rPr>
          <w:i/>
          <w:iCs/>
          <w:sz w:val="26"/>
          <w:szCs w:val="26"/>
        </w:rPr>
        <w:t>của Bộ Văn hóa, Thể thao và Du lịch</w:t>
      </w:r>
      <w:r w:rsidR="00640DD9">
        <w:rPr>
          <w:i/>
          <w:iCs/>
          <w:sz w:val="26"/>
          <w:szCs w:val="26"/>
        </w:rPr>
        <w:t>)</w:t>
      </w:r>
    </w:p>
    <w:p w:rsidR="00860248" w:rsidRDefault="000674B5">
      <w:pPr>
        <w:spacing w:after="240"/>
        <w:jc w:val="center"/>
      </w:pPr>
      <w:r>
        <w:rPr>
          <w:i/>
          <w:iCs/>
          <w:noProof/>
          <w:sz w:val="26"/>
          <w:szCs w:val="26"/>
        </w:rPr>
        <mc:AlternateContent>
          <mc:Choice Requires="wps">
            <w:drawing>
              <wp:anchor distT="0" distB="0" distL="114300" distR="114300" simplePos="0" relativeHeight="251659264" behindDoc="0" locked="0" layoutInCell="1" allowOverlap="1" wp14:anchorId="060FC4EB" wp14:editId="26022165">
                <wp:simplePos x="0" y="0"/>
                <wp:positionH relativeFrom="column">
                  <wp:posOffset>2342515</wp:posOffset>
                </wp:positionH>
                <wp:positionV relativeFrom="paragraph">
                  <wp:posOffset>147320</wp:posOffset>
                </wp:positionV>
                <wp:extent cx="152400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152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90A33D"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45pt,11.6pt" to="304.4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" strokecolor="black [3213]" strokeweight=".5pt">
                <v:stroke joinstyle="miter"/>
              </v:line>
            </w:pict>
          </mc:Fallback>
        </mc:AlternateContent>
      </w:r>
    </w:p>
    <w:tbl>
      <w:tblPr>
        <w:tblW w:w="10490"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4771"/>
        <w:gridCol w:w="4819"/>
      </w:tblGrid>
      <w:tr w:rsidR="00C06652" w:rsidTr="000674B5">
        <w:tblPrEx>
          <w:tblCellMar>
            <w:top w:w="0" w:type="dxa"/>
            <w:bottom w:w="0" w:type="dxa"/>
          </w:tblCellMar>
        </w:tblPrEx>
        <w:trPr>
          <w:tblHeader/>
        </w:trPr>
        <w:tc>
          <w:tcPr>
            <w:tcW w:w="900" w:type="dxa"/>
            <w:tcBorders>
              <w:top w:val="single" w:sz="4" w:space="0" w:color="000000"/>
              <w:left w:val="single" w:sz="4" w:space="0" w:color="000000"/>
              <w:bottom w:val="single" w:sz="4" w:space="0" w:color="000000"/>
              <w:right w:val="single" w:sz="4" w:space="0" w:color="000000"/>
            </w:tcBorders>
            <w:shd w:val="clear" w:color="auto" w:fill="D9E1F2"/>
            <w:tcMar>
              <w:top w:w="60" w:type="dxa"/>
              <w:left w:w="100" w:type="dxa"/>
              <w:bottom w:w="60" w:type="dxa"/>
              <w:right w:w="100" w:type="dxa"/>
            </w:tcMar>
          </w:tcPr>
          <w:p w:rsidR="00C06652" w:rsidRPr="000674B5" w:rsidRDefault="00640DD9" w:rsidP="000674B5">
            <w:pPr>
              <w:jc w:val="center"/>
              <w:rPr>
                <w:sz w:val="26"/>
                <w:szCs w:val="26"/>
              </w:rPr>
            </w:pPr>
            <w:r w:rsidRPr="000674B5">
              <w:rPr>
                <w:b/>
                <w:bCs/>
                <w:sz w:val="26"/>
                <w:szCs w:val="26"/>
              </w:rPr>
              <w:t>STT</w:t>
            </w:r>
          </w:p>
        </w:tc>
        <w:tc>
          <w:tcPr>
            <w:tcW w:w="4771" w:type="dxa"/>
            <w:tcBorders>
              <w:top w:val="single" w:sz="4" w:space="0" w:color="000000"/>
              <w:left w:val="single" w:sz="4" w:space="0" w:color="000000"/>
              <w:bottom w:val="single" w:sz="4" w:space="0" w:color="000000"/>
              <w:right w:val="single" w:sz="4" w:space="0" w:color="000000"/>
            </w:tcBorders>
            <w:shd w:val="clear" w:color="auto" w:fill="D9E1F2"/>
            <w:tcMar>
              <w:top w:w="60" w:type="dxa"/>
              <w:left w:w="100" w:type="dxa"/>
              <w:bottom w:w="60" w:type="dxa"/>
              <w:right w:w="100" w:type="dxa"/>
            </w:tcMar>
          </w:tcPr>
          <w:p w:rsidR="00C06652" w:rsidRPr="000674B5" w:rsidRDefault="00640DD9" w:rsidP="000674B5">
            <w:pPr>
              <w:jc w:val="center"/>
              <w:rPr>
                <w:sz w:val="26"/>
                <w:szCs w:val="26"/>
              </w:rPr>
            </w:pPr>
            <w:r w:rsidRPr="000674B5">
              <w:rPr>
                <w:b/>
                <w:bCs/>
                <w:sz w:val="26"/>
                <w:szCs w:val="26"/>
              </w:rPr>
              <w:t>Nội dung vướng mắc</w:t>
            </w:r>
          </w:p>
        </w:tc>
        <w:tc>
          <w:tcPr>
            <w:tcW w:w="4819" w:type="dxa"/>
            <w:tcBorders>
              <w:top w:val="single" w:sz="4" w:space="0" w:color="000000"/>
              <w:left w:val="single" w:sz="4" w:space="0" w:color="000000"/>
              <w:bottom w:val="single" w:sz="4" w:space="0" w:color="000000"/>
              <w:right w:val="single" w:sz="4" w:space="0" w:color="000000"/>
            </w:tcBorders>
            <w:shd w:val="clear" w:color="auto" w:fill="D9E1F2"/>
            <w:tcMar>
              <w:top w:w="60" w:type="dxa"/>
              <w:left w:w="100" w:type="dxa"/>
              <w:bottom w:w="60" w:type="dxa"/>
              <w:right w:w="100" w:type="dxa"/>
            </w:tcMar>
          </w:tcPr>
          <w:p w:rsidR="00C06652" w:rsidRPr="000674B5" w:rsidRDefault="00640DD9" w:rsidP="000674B5">
            <w:pPr>
              <w:jc w:val="center"/>
              <w:rPr>
                <w:sz w:val="26"/>
                <w:szCs w:val="26"/>
              </w:rPr>
            </w:pPr>
            <w:r w:rsidRPr="000674B5">
              <w:rPr>
                <w:b/>
                <w:bCs/>
                <w:sz w:val="26"/>
                <w:szCs w:val="26"/>
              </w:rPr>
              <w:t>Số lượng và tên các địa phương phản ánh</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1</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Nghị định số 91/2005/NĐ-CP chưa phù hợp với mô hình tổ chức chính quyền địa phương 02 cấp và việc sắp xếp đơn vị hành chính, cần được sửa đổi, bổ sung.</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21 địa phương: </w:t>
            </w:r>
            <w:r w:rsidRPr="000674B5">
              <w:rPr>
                <w:sz w:val="26"/>
                <w:szCs w:val="26"/>
              </w:rPr>
              <w:t>An Giang, Bạc Liêu, Bắc Ninh, Bình Phước, Cà Mau, Đắk Lắk, Đắk Nông, Điện Biên, Hưng Yên,</w:t>
            </w:r>
            <w:r w:rsidRPr="000674B5">
              <w:rPr>
                <w:sz w:val="26"/>
                <w:szCs w:val="26"/>
              </w:rPr>
              <w:t xml:space="preserve"> Lào Cai, Lạng Sơn, Nghệ An, Phú Thọ, Phú Yên, Quảng Bình, Quảng Ninh, Thanh Hóa, Thái Nguyên, TP. Huế, Vĩnh Long, Vĩnh Phúc</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2</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Thiếu tiêu chí định lượng (chiều dài, chiều rộng, lộ giới, kết cấu…) để xác định tuyến đường, phố đủ điều kiện được đặt tên và phân loại quy mô tuyến đường.</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19 địa phương: </w:t>
            </w:r>
            <w:r w:rsidRPr="000674B5">
              <w:rPr>
                <w:sz w:val="26"/>
                <w:szCs w:val="26"/>
              </w:rPr>
              <w:t>Bắc Ninh, Bình Định, Cao Bằng, Cần Thơ, Đắk Lắk, Đắk Nông, Điện Biên, Hải Phòng, Hòa</w:t>
            </w:r>
            <w:r w:rsidRPr="000674B5">
              <w:rPr>
                <w:sz w:val="26"/>
                <w:szCs w:val="26"/>
              </w:rPr>
              <w:t xml:space="preserve"> Bình, Nam Định, Ninh Bình, Phú Thọ, Quảng Bình, Quảng Ninh, Quảng Trị, Sơn La, Thái Nguyên, TP. Huế, Yên Bái</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3</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Thiếu tiêu chí xác định đường, phố, công trình công cộng “có quy mô lớn, có ý nghĩa quan trọng” (Điều 15, Điều 16), gây khó khăn trong tham mưu</w:t>
            </w:r>
            <w:r w:rsidRPr="000674B5">
              <w:rPr>
                <w:sz w:val="26"/>
                <w:szCs w:val="26"/>
              </w:rPr>
              <w:t>, thẩm định và phân định thẩm quyền quyết định.</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19 địa phương: </w:t>
            </w:r>
            <w:r w:rsidRPr="000674B5">
              <w:rPr>
                <w:sz w:val="26"/>
                <w:szCs w:val="26"/>
              </w:rPr>
              <w:t>An Giang, Bắc Kạn, Bến Tre, Bình Phước, Cà Mau, Điện Biên, Hòa Bình, Hưng Yên, Khánh Hòa, Lai Châu, Lào Cai, Lạng Sơn, Phú Yên, Quảng Bình, Quảng Trị, Thái Nguyên, TP. Hồ Chí Minh, TP. Huế, Vĩn</w:t>
            </w:r>
            <w:r w:rsidRPr="000674B5">
              <w:rPr>
                <w:sz w:val="26"/>
                <w:szCs w:val="26"/>
              </w:rPr>
              <w:t>h Long</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4</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Trình tự, thủ tục, thành phần hồ sơ, thời hạn các bước chưa được quy định cụ thể, dẫn đến nhiều cách hiểu, thực hiện khác nhau; quy trình phức tạp, kéo dài.</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17 địa phương: </w:t>
            </w:r>
            <w:r w:rsidRPr="000674B5">
              <w:rPr>
                <w:sz w:val="26"/>
                <w:szCs w:val="26"/>
              </w:rPr>
              <w:t>An Giang, Bắc Kạn, Bình Định, Đắk Lắk, Điện Biên, Hà Tĩnh, Hòa Bình, Lai C</w:t>
            </w:r>
            <w:r w:rsidRPr="000674B5">
              <w:rPr>
                <w:sz w:val="26"/>
                <w:szCs w:val="26"/>
              </w:rPr>
              <w:t>hâu, Phú Yên, Quảng Bình, Quảng Trị, Thanh Hóa, Thái Nguyên, TP. Hồ Chí Minh, TP. Huế, Vĩnh Long, Yên Bái</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5</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Quy định đặt tên tương xứng giữa vị trí, cấp độ, quy mô của đường, phố, công trình với tầm vóc của tên (Điều 9) còn định tính, chưa có tiêu chí, dẫn đến có tuyến ngắn, nhỏ mang tên danh nhân lớn và ngược lại, phát sinh ý kiến trái chiều.</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15 địa phương: </w:t>
            </w:r>
            <w:r w:rsidRPr="000674B5">
              <w:rPr>
                <w:sz w:val="26"/>
                <w:szCs w:val="26"/>
              </w:rPr>
              <w:t>Bắc</w:t>
            </w:r>
            <w:r w:rsidRPr="000674B5">
              <w:rPr>
                <w:sz w:val="26"/>
                <w:szCs w:val="26"/>
              </w:rPr>
              <w:t xml:space="preserve"> Kạn, Bắc Ninh, Cần Thơ, Hậu Giang, Lai Châu, Lạng Sơn, Lâm Đồng, Phú Thọ, Quảng Bình, Quảng Ninh, Quảng Trị, Sơn La, Thanh Hóa, TP. Huế, Yên Bái</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6</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Chưa phân định rõ thẩm quyền, trách nhiệm giữa HĐND, UBND cấp tỉnh và chính quyền cấp dưới; cơ chế ủy quyền</w:t>
            </w:r>
            <w:r w:rsidRPr="000674B5">
              <w:rPr>
                <w:sz w:val="26"/>
                <w:szCs w:val="26"/>
              </w:rPr>
              <w:t xml:space="preserve"> cho cấp huyện không có căn cứ xác định và không còn phù hợp; chưa quy định thẩm quyền, trách nhiệm của cấp xã trong đề xuất, quyết định đặt tên.</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13 địa phương: </w:t>
            </w:r>
            <w:r w:rsidRPr="000674B5">
              <w:rPr>
                <w:sz w:val="26"/>
                <w:szCs w:val="26"/>
              </w:rPr>
              <w:t>An Giang, Cao Bằng, Cà Mau, Điện Biên, Hải Phòng, Hưng Yên, Lào Cai, Quảng Bình, Thái Nguyên, T</w:t>
            </w:r>
            <w:r w:rsidRPr="000674B5">
              <w:rPr>
                <w:sz w:val="26"/>
                <w:szCs w:val="26"/>
              </w:rPr>
              <w:t>P. Hồ Chí Minh, Trà Vinh, Vĩnh Long, Vĩnh Phúc</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lastRenderedPageBreak/>
              <w:t>7</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Quy định về Hội đồng tư vấn chưa phù hợp: vai trò, nhiệm vụ, cơ chế hoạt động (vừa lập đề án vừa thẩm định, kiêm nhiệm), chưa có quy chế hoạt động; chưa quy định Hội đồng tư vấn cấp huyện; thành phần tại kh</w:t>
            </w:r>
            <w:r w:rsidRPr="000674B5">
              <w:rPr>
                <w:sz w:val="26"/>
                <w:szCs w:val="26"/>
              </w:rPr>
              <w:t>oản 1 Mục V Thông tư số 36/2006/TT-BVHTT không còn phù hợp do tên cơ quan thay đổi.</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12 địa phương: </w:t>
            </w:r>
            <w:r w:rsidRPr="000674B5">
              <w:rPr>
                <w:sz w:val="26"/>
                <w:szCs w:val="26"/>
              </w:rPr>
              <w:t>An Giang, Cần Thơ, Đắk Nông, Lâm Đồng, Ninh Bình, Quảng Bình, Quảng Trị, Thái Nguyên, TP. Hồ Chí Minh, TP. Huế, Trà Vinh, Vĩnh Long</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8</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 xml:space="preserve">Tiêu chí lựa chọn tên </w:t>
            </w:r>
            <w:r w:rsidRPr="000674B5">
              <w:rPr>
                <w:sz w:val="26"/>
                <w:szCs w:val="26"/>
              </w:rPr>
              <w:t>còn định tính: chưa rõ thế nào là danh nhân, danh nhân “có đóng góp to lớn”, cách đánh giá công trạng danh nhân, ý nghĩa của nhân vật, sự kiện lịch sử, danh thắng để đặt tên hoặc đưa vào ngân hàng tên.</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11 địa phương: </w:t>
            </w:r>
            <w:r w:rsidRPr="000674B5">
              <w:rPr>
                <w:sz w:val="26"/>
                <w:szCs w:val="26"/>
              </w:rPr>
              <w:t xml:space="preserve">Bắc Kạn, Bình Định, Hà Tĩnh, Hưng Yên, </w:t>
            </w:r>
            <w:r w:rsidRPr="000674B5">
              <w:rPr>
                <w:sz w:val="26"/>
                <w:szCs w:val="26"/>
              </w:rPr>
              <w:t>Lào Cai, Lâm Đồng, Phú Thọ, Quảng Ninh, Thanh Hóa, Thái Nguyên, TP. Hồ Chí Minh</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9</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Nghị định số 91/2005/NĐ-CP ban hành đã lâu, nhiều quy định không còn phù hợp với sự thay đổi của hệ thống pháp luật (đường bộ, giao thông, quy hoạch) và thực tiễn phát triển đô thị; cần sửa đổi, bổ sung hoặc thay thế.</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11 địa phương: </w:t>
            </w:r>
            <w:r w:rsidRPr="000674B5">
              <w:rPr>
                <w:sz w:val="26"/>
                <w:szCs w:val="26"/>
              </w:rPr>
              <w:t xml:space="preserve">Bắc Kạn, Cao Bằng, Cần </w:t>
            </w:r>
            <w:r w:rsidRPr="000674B5">
              <w:rPr>
                <w:sz w:val="26"/>
                <w:szCs w:val="26"/>
              </w:rPr>
              <w:t>Thơ, Hà Tĩnh, Hưng Yên, Lai Châu, Lào Cai, Lạng Sơn, Nghệ An, Phú Thọ, Thanh Hóa</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10</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 xml:space="preserve">Phạm vi điều chỉnh giới hạn ở “đô thị” gồm thành phố, thị xã, thị trấn (Điều 1, khoản 7 Điều 3, Điều 4) không còn phù hợp khi sắp xếp đơn vị hành chính, tổ chức chính quyền địa phương 02 cấp; khái niệm “đô thị” làm căn cứ xác định phạm vi chưa rõ, dẫn đến </w:t>
            </w:r>
            <w:r w:rsidRPr="000674B5">
              <w:rPr>
                <w:sz w:val="26"/>
                <w:szCs w:val="26"/>
              </w:rPr>
              <w:t>có nơi đã có yếu tố đô thị hoặc có tuyến đường quy mô, dân cư ổn định nhưng không thuộc đối tượng đặt tên.</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10 địa phương: </w:t>
            </w:r>
            <w:r w:rsidRPr="000674B5">
              <w:rPr>
                <w:sz w:val="26"/>
                <w:szCs w:val="26"/>
              </w:rPr>
              <w:t>An Giang, Cà Mau, Lạng Sơn, Phú Thọ, Phú Yên, Quảng Bình, TP. Hồ Chí Minh, TP. Huế, Vĩnh Long, Vĩnh Phúc</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11</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Khái niệm đường, phố, ngõ</w:t>
            </w:r>
            <w:r w:rsidRPr="000674B5">
              <w:rPr>
                <w:sz w:val="26"/>
                <w:szCs w:val="26"/>
              </w:rPr>
              <w:t xml:space="preserve"> (kiệt), ngách (hẻm) tại Điều 3 còn chung chung, chưa có tiêu chí (quy mô, kích thước) để phân biệt và chưa đồng bộ với pháp luật chuyên ngành về xây dựng, quy hoạch, dẫn đến lúng túng khi xác định là “đường” hay “phố”, “hẻm”.</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09 địa phương: </w:t>
            </w:r>
            <w:r w:rsidRPr="000674B5">
              <w:rPr>
                <w:sz w:val="26"/>
                <w:szCs w:val="26"/>
              </w:rPr>
              <w:t>Bắc Ninh, Bình</w:t>
            </w:r>
            <w:r w:rsidRPr="000674B5">
              <w:rPr>
                <w:sz w:val="26"/>
                <w:szCs w:val="26"/>
              </w:rPr>
              <w:t xml:space="preserve"> Định, Bình Phước, Cần Thơ, Điện Biên, Nam Định, Sơn La, Thanh Hóa, TP. Hồ Chí Minh</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12</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 xml:space="preserve">Đối tượng áp dụng chưa rõ, chưa bao quát: chưa rõ công trình công cộng ở cấp nào, công trình nhỏ mang tính địa phương, chợ, siêu thị, trung tâm thương mại có thuộc phạm vi hay không; chưa điều chỉnh một số loại đường, công trình (đường liên xã, giao thông </w:t>
            </w:r>
            <w:r w:rsidRPr="000674B5">
              <w:rPr>
                <w:sz w:val="26"/>
                <w:szCs w:val="26"/>
              </w:rPr>
              <w:t>nông thôn, khu tái định cư, khu dân cư mới; đường cao tốc, chuyên dùng, nội bộ, khu đô thị khép kín; đường trên cao, phố đi bộ, đường trong khu đô thị thương mại, khu công nghiệp).</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07 địa phương: </w:t>
            </w:r>
            <w:r w:rsidRPr="000674B5">
              <w:rPr>
                <w:sz w:val="26"/>
                <w:szCs w:val="26"/>
              </w:rPr>
              <w:t xml:space="preserve">An Giang, Bến Tre, Nghệ An, Quảng Bình, Quảng Trị, TP. Huế, </w:t>
            </w:r>
            <w:r w:rsidRPr="000674B5">
              <w:rPr>
                <w:sz w:val="26"/>
                <w:szCs w:val="26"/>
              </w:rPr>
              <w:t>Vĩnh Long</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lastRenderedPageBreak/>
              <w:t>13</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Chưa có quy định cụ thể về giới hạn tuyến đường: phân đoạn đường, phố “quá dài” (Điều 12) còn định tính; chưa có quy định xác định điểm đầu, điểm cuối và điều chỉnh lý trình (nối dài) tuyến đường đã đặt tên.</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07 địa phương: </w:t>
            </w:r>
            <w:r w:rsidRPr="000674B5">
              <w:rPr>
                <w:sz w:val="26"/>
                <w:szCs w:val="26"/>
              </w:rPr>
              <w:t>Điện Biên, Hậu Gian</w:t>
            </w:r>
            <w:r w:rsidRPr="000674B5">
              <w:rPr>
                <w:sz w:val="26"/>
                <w:szCs w:val="26"/>
              </w:rPr>
              <w:t>g, Hưng Yên, Lào Cai, Quảng Ninh, TP. Hồ Chí Minh, TP. Huế</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14</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Nhiều quy định còn chung chung, khái quát, thiếu hướng dẫn thống nhất nên việc áp dụng giữa các địa phương không đồng bộ, không thống nhất.</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07 địa phương: </w:t>
            </w:r>
            <w:r w:rsidRPr="000674B5">
              <w:rPr>
                <w:sz w:val="26"/>
                <w:szCs w:val="26"/>
              </w:rPr>
              <w:t>Bắc Kạn, Bình Định, Cao Bằng, Đắk Lắk,</w:t>
            </w:r>
            <w:r w:rsidRPr="000674B5">
              <w:rPr>
                <w:sz w:val="26"/>
                <w:szCs w:val="26"/>
              </w:rPr>
              <w:t xml:space="preserve"> Lai Châu, Quảng Ninh, Thanh Hóa</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15</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Cơ chế xây dựng, cập nhật ngân hàng tên chưa rõ; việc cập nhật chưa thường xuyên, đầy đủ; quy định chỉ lựa chọn tên trong ngân hàng tên chưa phù hợp.</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06 địa phương: </w:t>
            </w:r>
            <w:r w:rsidRPr="000674B5">
              <w:rPr>
                <w:sz w:val="26"/>
                <w:szCs w:val="26"/>
              </w:rPr>
              <w:t>Đồng Nai, Hậu Giang, Lào Cai, Quảng Bình, Quảng Trị, T</w:t>
            </w:r>
            <w:r w:rsidRPr="000674B5">
              <w:rPr>
                <w:sz w:val="26"/>
                <w:szCs w:val="26"/>
              </w:rPr>
              <w:t>P. Huế</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16</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Khó khăn về nguồn lực thực hiện: kinh phí cho khảo sát, Hội đồng tư vấn, lấy ý kiến, gắn biển còn hạn chế; đội ngũ cán bộ mỏng, chưa được đào tạo chuyên sâu, thiếu bộ phận chuyên trách.</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06 địa phương: </w:t>
            </w:r>
            <w:r w:rsidRPr="000674B5">
              <w:rPr>
                <w:sz w:val="26"/>
                <w:szCs w:val="26"/>
              </w:rPr>
              <w:t>Hà Tĩnh, Hậu Giang, Nam Định, Quảng Bình, TP. Hồ Chí Minh, Yên Bái</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17</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Việc đặt tên chưa theo kịp tốc độ đô thị hóa, phát triển hạ tầng; nhiều tuyến đường, khu đô thị mới, khu tái định cư đã sử dụng nhưng chưa được đặt tên.</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06 địa phương: </w:t>
            </w:r>
            <w:r w:rsidRPr="000674B5">
              <w:rPr>
                <w:sz w:val="26"/>
                <w:szCs w:val="26"/>
              </w:rPr>
              <w:t>Bắc Kạn, Đắk Lắk,</w:t>
            </w:r>
            <w:r w:rsidRPr="000674B5">
              <w:rPr>
                <w:sz w:val="26"/>
                <w:szCs w:val="26"/>
              </w:rPr>
              <w:t xml:space="preserve"> Hà Tĩnh, Hậu Giang, Phú Thọ, Quảng Bình</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18</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Tình trạng trùng tên, lặp tên đường, phố (phát sinh cả do sắp xếp đơn vị hành chính); chưa có hướng dẫn xử lý tên trùng, tên chưa đúng, chưa hợp lý.</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05 địa phương: </w:t>
            </w:r>
            <w:r w:rsidRPr="000674B5">
              <w:rPr>
                <w:sz w:val="26"/>
                <w:szCs w:val="26"/>
              </w:rPr>
              <w:t>Đồng Nai, Hà Tĩnh, Quảng Ninh, Thanh Hóa, TP. H</w:t>
            </w:r>
            <w:r w:rsidRPr="000674B5">
              <w:rPr>
                <w:sz w:val="26"/>
                <w:szCs w:val="26"/>
              </w:rPr>
              <w:t>uế</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19</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Việc lấy ý kiến Nhân dân chưa được quy định rõ về khâu thực hiện, hình thức, phạm vi, thời gian; thực tế còn lúng túng, mang tính hình thức.</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05 địa phương: </w:t>
            </w:r>
            <w:r w:rsidRPr="000674B5">
              <w:rPr>
                <w:sz w:val="26"/>
                <w:szCs w:val="26"/>
              </w:rPr>
              <w:t>An Giang, Đồng Nai, Hà Tĩnh, TP. Hồ Chí Minh, Vĩnh Long</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20</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 xml:space="preserve">Quy định về biển tên chưa phù hợp: chưa có nội dung thể hiện xuất xứ tên gọi; quy cách biển (kích thước 75cm x 40cm tại Mục VII Thông tư số 36/2006/TT-BVHTT) cần điều chỉnh; thời hạn 30 ngày gắn biển (khoản 3 Điều 17) không khả thi khi phải thực hiện theo </w:t>
            </w:r>
            <w:r w:rsidRPr="000674B5">
              <w:rPr>
                <w:sz w:val="26"/>
                <w:szCs w:val="26"/>
              </w:rPr>
              <w:t>trình tự đầu tư công.</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05 địa phương: </w:t>
            </w:r>
            <w:r w:rsidRPr="000674B5">
              <w:rPr>
                <w:sz w:val="26"/>
                <w:szCs w:val="26"/>
              </w:rPr>
              <w:t>An Giang, Cần Thơ, Khánh Hòa, Sơn La, Vĩnh Long</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21</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Chưa quy định việc đặt tên, đổi tên đối với đường, phố, công trình công cộng do tổ chức, cá nhân đầu tư xây dựng, quản lý.</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04 địa phương: </w:t>
            </w:r>
            <w:r w:rsidRPr="000674B5">
              <w:rPr>
                <w:sz w:val="26"/>
                <w:szCs w:val="26"/>
              </w:rPr>
              <w:t xml:space="preserve">An Giang, Hưng Yên, Lào Cai, </w:t>
            </w:r>
            <w:r w:rsidRPr="000674B5">
              <w:rPr>
                <w:sz w:val="26"/>
                <w:szCs w:val="26"/>
              </w:rPr>
              <w:t>Vĩnh Long</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lastRenderedPageBreak/>
              <w:t>22</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Quy định về nguồn tên, phương thức đặt tên chưa bao quát, chưa hợp lý: chưa hướng dẫn sử dụng yếu tố văn hóa đương đại, tên tiếng nước ngoài; chưa quy định đặt tên bằng số, chữ cái cho khu đô thị, khu dân cư mới; nhóm tên tại khoản 3 và khoản</w:t>
            </w:r>
            <w:r w:rsidRPr="000674B5">
              <w:rPr>
                <w:sz w:val="26"/>
                <w:szCs w:val="26"/>
              </w:rPr>
              <w:t xml:space="preserve"> 4 Điều 10 trùng lặp.</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04 địa phương: </w:t>
            </w:r>
            <w:r w:rsidRPr="000674B5">
              <w:rPr>
                <w:sz w:val="26"/>
                <w:szCs w:val="26"/>
              </w:rPr>
              <w:t>Hải Phòng, Nghệ An, Quảng Bình, Thái Nguyên</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23</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Thiếu quy định về dữ liệu, số hóa: cập nhật tên đường lên bản đồ số, hệ thống định vị, cơ sở dữ liệu tên đường; hồ sơ lưu trữ còn thiếu.</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04 địa phương: </w:t>
            </w:r>
            <w:r w:rsidRPr="000674B5">
              <w:rPr>
                <w:sz w:val="26"/>
                <w:szCs w:val="26"/>
              </w:rPr>
              <w:t>An Giang, Hà Tĩnh, Quảng Ninh, Vĩnh Long</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24</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Việc đặt tên chưa đồng bộ với quy hoạch đô thị, dự án đầu tư: điều kiện “sử dụng ổn định” (Điều 4) không phù hợp với yêu cầu có tên khi phê duyệt dự án; chưa quy định việc chủ đầu tư đặt tên trong phạm vi dự án,</w:t>
            </w:r>
            <w:r w:rsidRPr="000674B5">
              <w:rPr>
                <w:sz w:val="26"/>
                <w:szCs w:val="26"/>
              </w:rPr>
              <w:t xml:space="preserve"> dẫn đến chủ đầu tư tự đặt, tự gắn biển tên.</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04 địa phương: </w:t>
            </w:r>
            <w:r w:rsidRPr="000674B5">
              <w:rPr>
                <w:sz w:val="26"/>
                <w:szCs w:val="26"/>
              </w:rPr>
              <w:t>Hà Tĩnh, Khánh Hòa, Quảng Ninh, TP. Hồ Chí Minh</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25</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Thiếu tiêu chí về cơ cấu, phân bổ các nhóm tên (địa danh, sự kiện, danh nhân qua các thời kỳ), dẫn đến mất cân đối trong lựa chọn tên tại một đô</w:t>
            </w:r>
            <w:r w:rsidRPr="000674B5">
              <w:rPr>
                <w:sz w:val="26"/>
                <w:szCs w:val="26"/>
              </w:rPr>
              <w:t xml:space="preserve"> thị.</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03 địa phương: </w:t>
            </w:r>
            <w:r w:rsidRPr="000674B5">
              <w:rPr>
                <w:sz w:val="26"/>
                <w:szCs w:val="26"/>
              </w:rPr>
              <w:t>Bắc Ninh, Quảng Bình, Sơn La</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26</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Thẩm quyền đặt tên đường tại Nghị định số 91/2005/NĐ-CP chưa thống nhất với pháp luật về đường bộ (Luật Đường bộ, Nghị định số 165/2024/NĐ-CP); chưa gắn kết việc đặt tên với đặt số hiệu đường bộ.</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03 địa phương: </w:t>
            </w:r>
            <w:r w:rsidRPr="000674B5">
              <w:rPr>
                <w:sz w:val="26"/>
                <w:szCs w:val="26"/>
              </w:rPr>
              <w:t>Cần Thơ, Khánh Hòa, TP. Hồ Chí Minh</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27</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Thiếu cơ chế kiểm tra, giám sát sau khi đặt tên; còn tình trạng tự ý đặt, đổi tên, gắn biển tên.</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03 địa phương: </w:t>
            </w:r>
            <w:r w:rsidRPr="000674B5">
              <w:rPr>
                <w:sz w:val="26"/>
                <w:szCs w:val="26"/>
              </w:rPr>
              <w:t>Hậu Giang, Nghệ An, Quảng Ninh</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28</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Căn cứ đổi tên (Điều 5) chưa bao quát các trường hợp p</w:t>
            </w:r>
            <w:r w:rsidRPr="000674B5">
              <w:rPr>
                <w:sz w:val="26"/>
                <w:szCs w:val="26"/>
              </w:rPr>
              <w:t>hát sinh trong thực tiễn (tên không tương xứng với quy mô tuyến đường; thay đổi quy hoạch, mở rộng đường).</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02 địa phương: </w:t>
            </w:r>
            <w:r w:rsidRPr="000674B5">
              <w:rPr>
                <w:sz w:val="26"/>
                <w:szCs w:val="26"/>
              </w:rPr>
              <w:t>Bình Định, Cần Thơ</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29</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Công tác gắn biển, quản lý biển tên sau khi đặt tên, đổi tên còn hạn chế (chưa đúng quy cách, xuống cấp, chưa đ</w:t>
            </w:r>
            <w:r w:rsidRPr="000674B5">
              <w:rPr>
                <w:sz w:val="26"/>
                <w:szCs w:val="26"/>
              </w:rPr>
              <w:t>ồng bộ do thiếu nguồn lực).</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02 địa phương: </w:t>
            </w:r>
            <w:r w:rsidRPr="000674B5">
              <w:rPr>
                <w:sz w:val="26"/>
                <w:szCs w:val="26"/>
              </w:rPr>
              <w:t>Hậu Giang, Nam Định</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30</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Phân công trách nhiệm giữa các cơ quan chưa rõ: vai trò đầu mối, phối hợp giữa ngành văn hóa và ngành xây dựng; trách nhiệm các sở, ngành trong triển khai sau khi có nghị quyết (gắn biển, gắn số nhà).</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02 địa phương: </w:t>
            </w:r>
            <w:r w:rsidRPr="000674B5">
              <w:rPr>
                <w:sz w:val="26"/>
                <w:szCs w:val="26"/>
              </w:rPr>
              <w:t>Hải Phòng, TP. Hồ Chí Minh</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lastRenderedPageBreak/>
              <w:t>31</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Tên chính</w:t>
            </w:r>
            <w:r w:rsidRPr="000674B5">
              <w:rPr>
                <w:sz w:val="26"/>
                <w:szCs w:val="26"/>
              </w:rPr>
              <w:t xml:space="preserve"> thức chưa được sử dụng thống nhất trong thực tế (người dân vẫn dùng tên quen gọi; tên trên bản đồ hành chính khác tên cộng đồng quen dùng).</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02 địa phương: </w:t>
            </w:r>
            <w:r w:rsidRPr="000674B5">
              <w:rPr>
                <w:sz w:val="26"/>
                <w:szCs w:val="26"/>
              </w:rPr>
              <w:t>Đồng Nai, Quảng Ninh</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32</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Quy định về quy hoạch đại lộ tại Điều 11 (gắn với “các thành phố loại I trự</w:t>
            </w:r>
            <w:r w:rsidRPr="000674B5">
              <w:rPr>
                <w:sz w:val="26"/>
                <w:szCs w:val="26"/>
              </w:rPr>
              <w:t>c thuộc Trung ương”) chưa phù hợp.</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01 địa phương: </w:t>
            </w:r>
            <w:r w:rsidRPr="000674B5">
              <w:rPr>
                <w:sz w:val="26"/>
                <w:szCs w:val="26"/>
              </w:rPr>
              <w:t>Cà Mau</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33</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Quy định lấy ý kiến Bộ Văn hóa, Thể thao và Du lịch đối với đô thị loại đặc biệt (khoản 1 Điều 17) cần giới hạn do làm tăng thủ tục.</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01 địa phương: </w:t>
            </w:r>
            <w:r w:rsidRPr="000674B5">
              <w:rPr>
                <w:sz w:val="26"/>
                <w:szCs w:val="26"/>
              </w:rPr>
              <w:t>TP. Hồ Chí Minh</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34</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Chưa có cơ chế hợp thức hóa tên các tuyến đường, công tr</w:t>
            </w:r>
            <w:bookmarkStart w:id="0" w:name="_GoBack"/>
            <w:bookmarkEnd w:id="0"/>
            <w:r w:rsidRPr="000674B5">
              <w:rPr>
                <w:sz w:val="26"/>
                <w:szCs w:val="26"/>
              </w:rPr>
              <w:t>ình được đặt trước khi ban hành Nghị định số 91/2005/NĐ-CP.</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01 địa phương: </w:t>
            </w:r>
            <w:r w:rsidRPr="000674B5">
              <w:rPr>
                <w:sz w:val="26"/>
                <w:szCs w:val="26"/>
              </w:rPr>
              <w:t>Cần Thơ</w:t>
            </w:r>
          </w:p>
        </w:tc>
      </w:tr>
      <w:tr w:rsidR="00C06652" w:rsidTr="000674B5">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center"/>
              <w:rPr>
                <w:sz w:val="26"/>
                <w:szCs w:val="26"/>
              </w:rPr>
            </w:pPr>
            <w:r w:rsidRPr="000674B5">
              <w:rPr>
                <w:sz w:val="26"/>
                <w:szCs w:val="26"/>
              </w:rPr>
              <w:t>35</w:t>
            </w:r>
          </w:p>
        </w:tc>
        <w:tc>
          <w:tcPr>
            <w:tcW w:w="47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sz w:val="26"/>
                <w:szCs w:val="26"/>
              </w:rPr>
              <w:t>Chưa xác định quan hệ với quy định chuyên ngành về đặt tên đối với một số loại công trình công cộng (cơ sở giáo dục).</w:t>
            </w:r>
          </w:p>
        </w:tc>
        <w:tc>
          <w:tcPr>
            <w:tcW w:w="48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C06652" w:rsidRPr="000674B5" w:rsidRDefault="00640DD9" w:rsidP="000674B5">
            <w:pPr>
              <w:jc w:val="both"/>
              <w:rPr>
                <w:sz w:val="26"/>
                <w:szCs w:val="26"/>
              </w:rPr>
            </w:pPr>
            <w:r w:rsidRPr="000674B5">
              <w:rPr>
                <w:b/>
                <w:bCs/>
                <w:sz w:val="26"/>
                <w:szCs w:val="26"/>
              </w:rPr>
              <w:t xml:space="preserve">01 địa phương: </w:t>
            </w:r>
            <w:r w:rsidRPr="000674B5">
              <w:rPr>
                <w:sz w:val="26"/>
                <w:szCs w:val="26"/>
              </w:rPr>
              <w:t>Cần Thơ</w:t>
            </w:r>
          </w:p>
        </w:tc>
      </w:tr>
    </w:tbl>
    <w:p w:rsidR="00640DD9" w:rsidRDefault="00640DD9"/>
    <w:sectPr w:rsidR="00640DD9" w:rsidSect="000674B5">
      <w:footerReference w:type="default" r:id="rId8"/>
      <w:pgSz w:w="11906" w:h="16838" w:code="9"/>
      <w:pgMar w:top="993" w:right="1134" w:bottom="851"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DD9" w:rsidRDefault="00640DD9">
      <w:r>
        <w:separator/>
      </w:r>
    </w:p>
  </w:endnote>
  <w:endnote w:type="continuationSeparator" w:id="0">
    <w:p w:rsidR="00640DD9" w:rsidRDefault="00640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652" w:rsidRDefault="00C06652">
    <w:pP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DD9" w:rsidRDefault="00640DD9">
      <w:r>
        <w:separator/>
      </w:r>
    </w:p>
  </w:footnote>
  <w:footnote w:type="continuationSeparator" w:id="0">
    <w:p w:rsidR="00640DD9" w:rsidRDefault="00640DD9">
      <w:r>
        <w:continuationSeparator/>
      </w:r>
    </w:p>
  </w:footnote>
  <w:footnote w:id="1">
    <w:p w:rsidR="00860248" w:rsidRDefault="00860248">
      <w:pPr>
        <w:pStyle w:val="FootnoteText"/>
      </w:pPr>
      <w:r>
        <w:rPr>
          <w:rStyle w:val="FootnoteReference"/>
        </w:rPr>
        <w:footnoteRef/>
      </w:r>
      <w:r>
        <w:t xml:space="preserve"> </w:t>
      </w:r>
      <w:r w:rsidRPr="00860248">
        <w:t>Tổng hợp từ báo cáo của 41 tỉnh, thành phố trực thuộc Trung ương</w:t>
      </w:r>
      <w:r w:rsidR="000674B5">
        <w:t xml:space="preserve"> tại thời điểm tháng 6/2025</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772DEF"/>
    <w:multiLevelType w:val="hybridMultilevel"/>
    <w:tmpl w:val="B0BE123E"/>
    <w:lvl w:ilvl="0" w:tplc="372AB1AA">
      <w:start w:val="1"/>
      <w:numFmt w:val="bullet"/>
      <w:lvlText w:val="●"/>
      <w:lvlJc w:val="left"/>
      <w:pPr>
        <w:ind w:left="720" w:hanging="360"/>
      </w:pPr>
    </w:lvl>
    <w:lvl w:ilvl="1" w:tplc="5DDA1116">
      <w:start w:val="1"/>
      <w:numFmt w:val="bullet"/>
      <w:lvlText w:val="○"/>
      <w:lvlJc w:val="left"/>
      <w:pPr>
        <w:ind w:left="1440" w:hanging="360"/>
      </w:pPr>
    </w:lvl>
    <w:lvl w:ilvl="2" w:tplc="DAB63B16">
      <w:start w:val="1"/>
      <w:numFmt w:val="bullet"/>
      <w:lvlText w:val="■"/>
      <w:lvlJc w:val="left"/>
      <w:pPr>
        <w:ind w:left="2160" w:hanging="360"/>
      </w:pPr>
    </w:lvl>
    <w:lvl w:ilvl="3" w:tplc="148C8994">
      <w:start w:val="1"/>
      <w:numFmt w:val="bullet"/>
      <w:lvlText w:val="●"/>
      <w:lvlJc w:val="left"/>
      <w:pPr>
        <w:ind w:left="2880" w:hanging="360"/>
      </w:pPr>
    </w:lvl>
    <w:lvl w:ilvl="4" w:tplc="5588DEA4">
      <w:start w:val="1"/>
      <w:numFmt w:val="bullet"/>
      <w:lvlText w:val="○"/>
      <w:lvlJc w:val="left"/>
      <w:pPr>
        <w:ind w:left="3600" w:hanging="360"/>
      </w:pPr>
    </w:lvl>
    <w:lvl w:ilvl="5" w:tplc="E696A82A">
      <w:start w:val="1"/>
      <w:numFmt w:val="bullet"/>
      <w:lvlText w:val="■"/>
      <w:lvlJc w:val="left"/>
      <w:pPr>
        <w:ind w:left="4320" w:hanging="360"/>
      </w:pPr>
    </w:lvl>
    <w:lvl w:ilvl="6" w:tplc="DCF0817C">
      <w:start w:val="1"/>
      <w:numFmt w:val="bullet"/>
      <w:lvlText w:val="●"/>
      <w:lvlJc w:val="left"/>
      <w:pPr>
        <w:ind w:left="5040" w:hanging="360"/>
      </w:pPr>
    </w:lvl>
    <w:lvl w:ilvl="7" w:tplc="FA4E1B74">
      <w:start w:val="1"/>
      <w:numFmt w:val="bullet"/>
      <w:lvlText w:val="●"/>
      <w:lvlJc w:val="left"/>
      <w:pPr>
        <w:ind w:left="5760" w:hanging="360"/>
      </w:pPr>
    </w:lvl>
    <w:lvl w:ilvl="8" w:tplc="A60A7B7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652"/>
    <w:rsid w:val="000674B5"/>
    <w:rsid w:val="00640DD9"/>
    <w:rsid w:val="00860248"/>
    <w:rsid w:val="00C06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DC55A"/>
  <w15:docId w15:val="{9D970388-722B-4E76-8707-25DA28EE3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674B5"/>
    <w:pPr>
      <w:tabs>
        <w:tab w:val="center" w:pos="4680"/>
        <w:tab w:val="right" w:pos="9360"/>
      </w:tabs>
    </w:pPr>
  </w:style>
  <w:style w:type="character" w:customStyle="1" w:styleId="HeaderChar">
    <w:name w:val="Header Char"/>
    <w:basedOn w:val="DefaultParagraphFont"/>
    <w:link w:val="Header"/>
    <w:uiPriority w:val="99"/>
    <w:rsid w:val="000674B5"/>
  </w:style>
  <w:style w:type="paragraph" w:styleId="Footer">
    <w:name w:val="footer"/>
    <w:basedOn w:val="Normal"/>
    <w:link w:val="FooterChar"/>
    <w:uiPriority w:val="99"/>
    <w:unhideWhenUsed/>
    <w:rsid w:val="000674B5"/>
    <w:pPr>
      <w:tabs>
        <w:tab w:val="center" w:pos="4680"/>
        <w:tab w:val="right" w:pos="9360"/>
      </w:tabs>
    </w:pPr>
  </w:style>
  <w:style w:type="character" w:customStyle="1" w:styleId="FooterChar">
    <w:name w:val="Footer Char"/>
    <w:basedOn w:val="DefaultParagraphFont"/>
    <w:link w:val="Footer"/>
    <w:uiPriority w:val="99"/>
    <w:rsid w:val="00067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31A83-D2B3-4BE8-AC04-7EBF78074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1524</Words>
  <Characters>8689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Pc</cp:lastModifiedBy>
  <cp:revision>3</cp:revision>
  <dcterms:created xsi:type="dcterms:W3CDTF">2026-09-27T03:50:00Z</dcterms:created>
  <dcterms:modified xsi:type="dcterms:W3CDTF">2026-09-27T03:54:00Z</dcterms:modified>
</cp:coreProperties>
</file>