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624"/>
        <w:tblInd w:w="-142" w:type="dxa"/>
        <w:tblLook w:firstColumn="1" w:firstRow="1" w:lastColumn="0" w:lastRow="0" w:noHBand="0" w:noVBand="1" w:val="04A0"/>
        <w:tblBorders>
          <w:top w:val="none" w:sz="0"/>
          <w:left w:val="none" w:sz="0"/>
          <w:bottom w:val="none" w:sz="0"/>
          <w:right w:val="none" w:sz="0"/>
          <w:insideH w:val="none" w:sz="0"/>
          <w:insideV w:val="none" w:sz="0"/>
        </w:tblBorders>
        <w:tblLayout w:type="fixed"/>
        <w:tblCellMar>
          <w:top w:w="0" w:type="dxa"/>
          <w:left w:w="0" w:type="dxa"/>
          <w:bottom w:w="0" w:type="dxa"/>
          <w:right w:w="0" w:type="dxa"/>
        </w:tblCellMar>
      </w:tblPr>
      <w:tblGrid>
        <w:gridCol w:w="4365"/>
        <w:gridCol w:w="5259"/>
      </w:tblGrid>
      <w:tr>
        <w:tc>
          <w:tcPr>
            <w:tcW w:type="dxa" w:w="4365"/>
          </w:tcPr>
          <w:p>
            <w:pPr>
              <w:spacing w:before="0" w:after="0" w:line="240" w:lineRule="auto"/>
              <w:jc w:val="center"/>
            </w:pPr>
            <w:r>
              <w:rPr>
                <w:rFonts w:ascii="Times New Roman" w:hAnsi="Times New Roman" w:cs="Times New Roman" w:eastAsia="Times New Roman"/>
                <w:b/>
                <w:i w:val="0"/>
                <w:spacing w:val="-18"/>
                <w:sz w:val="26"/>
              </w:rPr>
              <w:t>BỘ VĂN HÓA, THỂ THAO VÀ DU LỊCH</w:t>
            </w:r>
          </w:p>
          <w:p>
            <w:pPr>
              <w:spacing w:before="0" w:after="0" w:line="240" w:lineRule="auto"/>
              <w:ind w:left="1300" w:right="1300"/>
              <w:jc w:val="center"/>
              <w:pBdr>
                <w:bottom w:val="single" w:sz="6" w:space="1" w:color="000000"/>
              </w:pBdr>
            </w:pPr>
            <w:r>
              <w:rPr>
                <w:rFonts w:ascii="Times New Roman" w:hAnsi="Times New Roman" w:cs="Times New Roman" w:eastAsia="Times New Roman"/>
                <w:b w:val="0"/>
                <w:i w:val="0"/>
                <w:sz w:val="26"/>
              </w:rPr>
            </w:r>
          </w:p>
        </w:tc>
        <w:tc>
          <w:tcPr>
            <w:tcW w:type="dxa" w:w="5259"/>
          </w:tcPr>
          <w:p>
            <w:pPr>
              <w:spacing w:before="0" w:after="0" w:line="240" w:lineRule="auto"/>
              <w:jc w:val="center"/>
            </w:pPr>
            <w:r>
              <w:rPr>
                <w:rFonts w:ascii="Times New Roman" w:hAnsi="Times New Roman" w:cs="Times New Roman" w:eastAsia="Times New Roman"/>
                <w:b/>
                <w:i w:val="0"/>
                <w:spacing w:val="-18"/>
                <w:sz w:val="26"/>
              </w:rPr>
              <w:t>CỘNG HÒA XÃ HỘI CHỦ NGHĨA VIỆT NAM</w:t>
            </w:r>
          </w:p>
          <w:p>
            <w:pPr>
              <w:spacing w:before="0" w:after="0" w:line="240" w:lineRule="auto"/>
              <w:jc w:val="center"/>
            </w:pPr>
            <w:r>
              <w:rPr>
                <w:rFonts w:ascii="Times New Roman" w:hAnsi="Times New Roman" w:cs="Times New Roman" w:eastAsia="Times New Roman"/>
                <w:b/>
                <w:i w:val="0"/>
                <w:sz w:val="28"/>
              </w:rPr>
              <w:t>Độc lập - Tự do - Hạnh phúc</w:t>
            </w:r>
          </w:p>
          <w:p>
            <w:pPr>
              <w:spacing w:before="0" w:after="0" w:line="240" w:lineRule="auto"/>
              <w:ind w:left="870" w:right="870"/>
              <w:jc w:val="center"/>
              <w:pBdr>
                <w:bottom w:val="single" w:sz="6" w:space="1" w:color="000000"/>
              </w:pBdr>
            </w:pPr>
            <w:r>
              <w:rPr>
                <w:rFonts w:ascii="Times New Roman" w:hAnsi="Times New Roman" w:cs="Times New Roman" w:eastAsia="Times New Roman"/>
                <w:b w:val="0"/>
                <w:i w:val="0"/>
                <w:sz w:val="28"/>
              </w:rPr>
            </w:r>
          </w:p>
        </w:tc>
      </w:tr>
      <w:tr>
        <w:tc>
          <w:tcPr>
            <w:tcW w:type="dxa" w:w="4365"/>
          </w:tcPr>
          <w:p>
            <w:pPr>
              <w:spacing w:before="200" w:after="0" w:line="240" w:lineRule="auto"/>
              <w:jc w:val="center"/>
            </w:pPr>
            <w:r>
              <w:rPr>
                <w:rFonts w:ascii="Times New Roman" w:hAnsi="Times New Roman" w:cs="Times New Roman" w:eastAsia="Times New Roman"/>
                <w:b w:val="0"/>
                <w:i w:val="0"/>
                <w:sz w:val="28"/>
              </w:rPr>
              <w:t>Số:                  /TTr-BVHTTDL</w:t>
            </w:r>
          </w:p>
          <w:p>
            <w:pPr>
              <w:spacing w:before="120" w:after="0" w:line="240" w:lineRule="auto"/>
              <w:jc w:val="center"/>
            </w:pPr>
            <w:r>
              <w:rPr>
                <w:rFonts w:ascii="Times New Roman" w:hAnsi="Times New Roman" w:cs="Times New Roman" w:eastAsia="Times New Roman"/>
                <w:b/>
                <w:i w:val="0"/>
                <w:sz w:val="26"/>
              </w:rPr>
              <w:t>DỰ THẢO</w:t>
            </w:r>
          </w:p>
        </w:tc>
        <w:tc>
          <w:tcPr>
            <w:tcW w:type="dxa" w:w="5259"/>
          </w:tcPr>
          <w:p>
            <w:pPr>
              <w:spacing w:before="200" w:after="0" w:line="240" w:lineRule="auto"/>
              <w:jc w:val="center"/>
            </w:pPr>
            <w:r>
              <w:rPr>
                <w:rFonts w:ascii="Times New Roman" w:hAnsi="Times New Roman" w:cs="Times New Roman" w:eastAsia="Times New Roman"/>
                <w:b w:val="0"/>
                <w:i/>
                <w:sz w:val="28"/>
              </w:rPr>
              <w:t>Hà Nội, ngày            tháng            năm 2026</w:t>
            </w:r>
          </w:p>
        </w:tc>
      </w:tr>
    </w:tbl>
    <w:p>
      <w:pPr>
        <w:keepNext/>
        <w:spacing w:before="360" w:after="0" w:line="240" w:lineRule="auto"/>
        <w:jc w:val="center"/>
      </w:pPr>
      <w:r>
        <w:rPr>
          <w:rFonts w:ascii="Times New Roman" w:hAnsi="Times New Roman" w:cs="Times New Roman" w:eastAsia="Times New Roman"/>
          <w:b/>
          <w:i w:val="0"/>
          <w:sz w:val="28"/>
        </w:rPr>
        <w:t>TỜ TRÌNH</w:t>
      </w:r>
    </w:p>
    <w:p>
      <w:pPr>
        <w:keepNext/>
        <w:spacing w:before="0" w:after="0" w:line="240" w:lineRule="auto"/>
        <w:jc w:val="center"/>
      </w:pPr>
      <w:r>
        <w:rPr>
          <w:rFonts w:ascii="Times New Roman" w:hAnsi="Times New Roman" w:cs="Times New Roman" w:eastAsia="Times New Roman"/>
          <w:b/>
          <w:i w:val="0"/>
          <w:sz w:val="28"/>
        </w:rPr>
        <w:t>Dự thảo Nghị định sửa đổi, bổ sung một số điều của Nghị định số 144/2020/NĐ-CP ngày 14 tháng 12 năm 2020 của Chính phủ quy định về hoạt động nghệ thuật biểu diễn</w:t>
      </w:r>
    </w:p>
    <w:p>
      <w:pPr>
        <w:spacing w:before="0" w:after="240" w:line="240" w:lineRule="auto"/>
        <w:ind w:left="3402" w:right="3402"/>
        <w:jc w:val="center"/>
        <w:pBdr>
          <w:bottom w:val="single" w:sz="6" w:space="1" w:color="000000"/>
        </w:pBdr>
      </w:pPr>
      <w:r>
        <w:rPr>
          <w:rFonts w:ascii="Times New Roman" w:hAnsi="Times New Roman" w:cs="Times New Roman" w:eastAsia="Times New Roman"/>
          <w:b w:val="0"/>
          <w:i w:val="0"/>
          <w:sz w:val="28"/>
        </w:rPr>
      </w:r>
    </w:p>
    <w:p>
      <w:pPr>
        <w:spacing w:before="120" w:after="240" w:line="360" w:lineRule="exact"/>
        <w:jc w:val="center"/>
      </w:pPr>
      <w:r>
        <w:rPr>
          <w:rFonts w:ascii="Times New Roman" w:hAnsi="Times New Roman" w:cs="Times New Roman" w:eastAsia="Times New Roman"/>
          <w:b w:val="0"/>
          <w:i w:val="0"/>
          <w:sz w:val="28"/>
        </w:rPr>
        <w:t>Kính gửi: Chính phủ</w:t>
      </w:r>
    </w:p>
    <w:p>
      <w:pPr>
        <w:spacing w:before="120" w:after="120" w:line="360" w:lineRule="exact"/>
        <w:ind w:firstLine="567"/>
        <w:jc w:val="both"/>
      </w:pPr>
      <w:r>
        <w:rPr>
          <w:rFonts w:ascii="Times New Roman" w:hAnsi="Times New Roman" w:cs="Times New Roman" w:eastAsia="Times New Roman"/>
          <w:b w:val="0"/>
          <w:i w:val="0"/>
          <w:sz w:val="28"/>
        </w:rPr>
        <w:t>Thực hiện Luật Ban hành văn bản quy phạm pháp luật năm 2025; Nghị quyết số 18/2026/NQ-CP ngày 29 tháng 4 năm 2026 của Chính phủ về cắt giảm, phân cấp, đơn giản hóa thủ tục hành chính, điều kiện đầu tư kinh doanh thuộc phạm vi quản lý của Bộ Văn hóa, Thể thao và Du lịch (Nghị quyết số 18/2026/NQ-CP); Nghị quyết số 66.18/2026/NQ-CP ngày 18 tháng 5 năm 2026 của Chính phủ về phân quyền, cắt giảm, đơn giản hóa thủ tục hành chính, điều kiện kinh doanh (Nghị quyết số 66.18/2026/NQ-CP); ý kiến của Phó Thủ tướng Chính phủ Phạm Thị Thanh Trà tại Công văn số 9432/VPCP-KGVX ngày 16 tháng 9 năm 2026 của Văn phòng Chính phủ về việc xây dựng Nghị định sửa đổi, bổ sung một số điều của Nghị định số 144/2020/NĐ-CP;</w:t>
      </w:r>
    </w:p>
    <w:p>
      <w:pPr>
        <w:spacing w:before="120" w:after="120" w:line="360" w:lineRule="exact"/>
        <w:ind w:firstLine="567"/>
        <w:jc w:val="both"/>
      </w:pPr>
      <w:r>
        <w:rPr>
          <w:rFonts w:ascii="Times New Roman" w:hAnsi="Times New Roman" w:cs="Times New Roman" w:eastAsia="Times New Roman"/>
          <w:b w:val="0"/>
          <w:i w:val="0"/>
          <w:sz w:val="28"/>
        </w:rPr>
        <w:t>Để bảo đảm đồng bộ với Luật Đầu tư năm 2025 và các quy định pháp luật có liên quan, Bộ Văn hóa, Thể thao và Du lịch kính trình Chính phủ dự thảo Nghị định sửa đổi, bổ sung một số điều của Nghị định số 144/2020/NĐ-CP ngày 14 tháng 12 năm 2020 của Chính phủ quy định về hoạt động nghệ thuật biểu diễn (dự thảo Nghị định) như sau:</w:t>
      </w:r>
    </w:p>
    <w:p>
      <w:pPr>
        <w:keepNext/>
        <w:spacing w:before="120" w:after="120" w:line="360" w:lineRule="exact"/>
        <w:ind w:firstLine="567"/>
        <w:jc w:val="both"/>
      </w:pPr>
      <w:r>
        <w:rPr>
          <w:rFonts w:ascii="Times New Roman" w:hAnsi="Times New Roman" w:cs="Times New Roman" w:eastAsia="Times New Roman"/>
          <w:b/>
          <w:i w:val="0"/>
          <w:sz w:val="28"/>
        </w:rPr>
        <w:t>I. SỰ CẦN THIẾT BAN HÀNH VĂN BẢN</w:t>
      </w:r>
    </w:p>
    <w:p>
      <w:pPr>
        <w:keepNext/>
        <w:spacing w:before="120" w:after="120" w:line="360" w:lineRule="exact"/>
        <w:ind w:firstLine="567"/>
        <w:jc w:val="both"/>
      </w:pPr>
      <w:r>
        <w:rPr>
          <w:rFonts w:ascii="Times New Roman" w:hAnsi="Times New Roman" w:cs="Times New Roman" w:eastAsia="Times New Roman"/>
          <w:b/>
          <w:i w:val="0"/>
          <w:sz w:val="28"/>
        </w:rPr>
        <w:t>1. Cơ sở chính trị, pháp lý</w:t>
      </w:r>
    </w:p>
    <w:p>
      <w:pPr>
        <w:spacing w:before="120" w:after="120" w:line="360" w:lineRule="exact"/>
        <w:ind w:firstLine="567"/>
        <w:jc w:val="both"/>
      </w:pPr>
      <w:r>
        <w:rPr>
          <w:rFonts w:ascii="Times New Roman" w:hAnsi="Times New Roman" w:cs="Times New Roman" w:eastAsia="Times New Roman"/>
          <w:b w:val="0"/>
          <w:i w:val="0"/>
          <w:sz w:val="28"/>
        </w:rPr>
        <w:t>Việc xây dựng dự thảo Nghị định nhằm kịp thời triển khai các chủ trương phân cấp, phân quyền, cải cách thủ tục hành chính, cắt giảm điều kiện đầu tư kinh doanh, chuyển mạnh từ tiền kiểm sang hậu kiểm theo Nghị quyết số 66-NQ/TW ngày 30 tháng 4 năm 2025 của Bộ Chính trị về đổi mới công tác xây dựng và thi hành pháp luật đáp ứng yêu cầu phát triển đất nước trong kỷ nguyên mới và Nghị quyết số 68-NQ/TW ngày 04 tháng 5 năm 2025 của Bộ Chính trị về phát triển kinh tế tư nhân.</w:t>
      </w:r>
    </w:p>
    <w:p>
      <w:pPr>
        <w:spacing w:before="120" w:after="120" w:line="360" w:lineRule="exact"/>
        <w:ind w:firstLine="567"/>
        <w:jc w:val="both"/>
      </w:pPr>
      <w:r>
        <w:rPr>
          <w:rFonts w:ascii="Times New Roman" w:hAnsi="Times New Roman" w:cs="Times New Roman" w:eastAsia="Times New Roman"/>
          <w:b w:val="0"/>
          <w:i w:val="0"/>
          <w:sz w:val="28"/>
        </w:rPr>
        <w:t>Đến nay, hệ thống pháp luật có liên quan đã có nhiều thay đổi, đòi hỏi phải sửa đổi, bổ sung Nghị định số 144/2020/NĐ-CP để bảo đảm tính thống nhất của hệ thống pháp luật, cụ thể là: Luật Đầu tư số 143/2025/QH15 (Luật Đầu tư năm 2025); Luật Tổ chức chính quyền địa phương số 72/2025/QH15; Nghị định số 137/2025/NĐ-CP ngày 12 tháng 6 năm 2025 của Chính phủ quy định về phân định thẩm quyền của chính quyền địa phương 02 cấp trong lĩnh vực văn hóa, thể thao và du lịch (Nghị định số 137/2025/NĐ-CP); Nghị định số 116/2026/NĐ-CP ngày 02 tháng 4 năm 2026 của Chính phủ sửa đổi, bổ sung một số điều của các nghị định có quy định thủ tục hành chính liên quan đến hoạt động sản xuất, kinh doanh thuộc phạm vi quản lý của Bộ Văn hóa, Thể thao và Du lịch (Nghị định số 116/2026/NĐ-CP); Nghị quyết số 18/2026/NQ-CP; Nghị quyết số 66.18/2026/NQ-CP.</w:t>
      </w:r>
    </w:p>
    <w:p>
      <w:pPr>
        <w:spacing w:before="120" w:after="120" w:line="360" w:lineRule="exact"/>
        <w:ind w:firstLine="567"/>
        <w:jc w:val="both"/>
      </w:pPr>
      <w:r>
        <w:rPr>
          <w:rFonts w:ascii="Times New Roman" w:hAnsi="Times New Roman" w:cs="Times New Roman" w:eastAsia="Times New Roman"/>
          <w:b w:val="0"/>
          <w:i w:val="0"/>
          <w:sz w:val="28"/>
        </w:rPr>
        <w:t>Để bảo đảm việc triển khai đồng bộ, thông suốt, không làm gián đoạn quá trình giải quyết thủ tục cho người dân và doanh nghiệp, Thủ tướng Chính phủ có ý kiến chỉ đạo tại Công văn số 527/TTg-CĐS ngày 18 tháng 5 năm 2026 yêu cầu các bộ, cơ quan ngang bộ khẩn trương hướng dẫn thi hành các nghị quyết đã ban hành, hoàn thiện hệ thống văn bản quy phạm pháp luật thuộc thẩm quyền, đồng thời tổ chức công bố, công khai đầy đủ các thủ tục hành chính, điều kiện kinh doanh đã được cắt giảm, phân cấp; thúc đẩy cải cách thể chế, cải thiện môi trường đầu tư kinh doanh, hướng tới mục tiêu tăng trưởng "2 con số".</w:t>
      </w:r>
    </w:p>
    <w:p>
      <w:pPr>
        <w:spacing w:before="120" w:after="120" w:line="360" w:lineRule="exact"/>
        <w:ind w:firstLine="567"/>
        <w:jc w:val="both"/>
      </w:pPr>
      <w:r>
        <w:rPr>
          <w:rFonts w:ascii="Times New Roman" w:hAnsi="Times New Roman" w:cs="Times New Roman" w:eastAsia="Times New Roman"/>
          <w:b w:val="0"/>
          <w:i w:val="0"/>
          <w:sz w:val="28"/>
        </w:rPr>
        <w:t>Ngày 16 tháng 9 năm 2026, Văn phòng Chính phủ có Công văn số 9432/VPCP-KGVX truyền đạt ý kiến của Phó Thủ tướng Chính phủ Phạm Thị Thanh Trà đồng ý áp dụng trình tự, thủ tục rút gọn đối với việc xây dựng, ban hành Nghị định sửa đổi, bổ sung một số điều của Nghị định số 144/2020/NĐ-CP; giao Bộ Văn hóa, Thể thao và Du lịch chủ trì, phối hợp với Bộ Tư pháp và các cơ quan liên quan khẩn trương xây dựng, rà soát, hoàn thiện dự thảo Nghị định và hồ sơ kèm theo, trình Chính phủ trước ngày 30 tháng 11 năm 2026.</w:t>
      </w:r>
    </w:p>
    <w:p>
      <w:pPr>
        <w:keepNext/>
        <w:spacing w:before="120" w:after="120" w:line="360" w:lineRule="exact"/>
        <w:ind w:firstLine="567"/>
        <w:jc w:val="both"/>
      </w:pPr>
      <w:r>
        <w:rPr>
          <w:rFonts w:ascii="Times New Roman" w:hAnsi="Times New Roman" w:cs="Times New Roman" w:eastAsia="Times New Roman"/>
          <w:b/>
          <w:i w:val="0"/>
          <w:sz w:val="28"/>
        </w:rPr>
        <w:t>2. Cơ sở thực tiễn</w:t>
      </w:r>
    </w:p>
    <w:p>
      <w:pPr>
        <w:spacing w:before="120" w:after="120" w:line="360" w:lineRule="exact"/>
        <w:ind w:firstLine="567"/>
        <w:jc w:val="both"/>
      </w:pPr>
      <w:r>
        <w:rPr>
          <w:rFonts w:ascii="Times New Roman" w:hAnsi="Times New Roman" w:cs="Times New Roman" w:eastAsia="Times New Roman"/>
          <w:b w:val="0"/>
          <w:i w:val="0"/>
          <w:sz w:val="28"/>
        </w:rPr>
        <w:t>Sau hơn 5 năm triển khai thực hiện, Nghị định số 144/2020/NĐ-CP đã góp phần đổi mới phương thức quản lý nhà nước trong lĩnh vực nghệ thuật biểu diễn; tạo điều kiện thuận lợi cho hoạt động sáng tạo, tổ chức biểu diễn nghệ thuật; thúc đẩy xã hội hóa và nâng cao hiệu quả quản lý nhà nước trong lĩnh vực nghệ thuật biểu diễn.</w:t>
      </w:r>
    </w:p>
    <w:p>
      <w:pPr>
        <w:spacing w:before="120" w:after="120" w:line="360" w:lineRule="exact"/>
        <w:ind w:firstLine="567"/>
        <w:jc w:val="both"/>
      </w:pPr>
      <w:r>
        <w:rPr>
          <w:rFonts w:ascii="Times New Roman" w:hAnsi="Times New Roman" w:cs="Times New Roman" w:eastAsia="Times New Roman"/>
          <w:b w:val="0"/>
          <w:i w:val="0"/>
          <w:sz w:val="28"/>
        </w:rPr>
        <w:t>Bộ Văn hóa, Thể thao và Du lịch đã rà soát Nghị định số 144/2020/NĐ-CP và nhận thấy một số quy định không còn phù hợp với quy định của pháp luật hiện hành và yêu cầu thực tiễn, cụ thể:</w:t>
      </w:r>
    </w:p>
    <w:p>
      <w:pPr>
        <w:spacing w:before="120" w:after="120" w:line="360" w:lineRule="exact"/>
        <w:ind w:firstLine="567"/>
        <w:jc w:val="both"/>
      </w:pPr>
      <w:r>
        <w:rPr>
          <w:rFonts w:ascii="Times New Roman" w:hAnsi="Times New Roman" w:cs="Times New Roman" w:eastAsia="Times New Roman"/>
          <w:b w:val="0"/>
          <w:i w:val="0"/>
          <w:sz w:val="28"/>
        </w:rPr>
        <w:t>Quy định về điều kiện đầu tư kinh doanh không còn phù hợp với Luật Đầu tư năm 2025. Theo Luật Đầu tư năm 2025, ngành nghề "Kinh doanh dịch vụ biểu diễn nghệ thuật, trình diễn thời trang, tổ chức thi người đẹp, người mẫu" không còn thuộc danh mục ngành nghề đầu tư kinh doanh có điều kiện kể từ ngày 01 tháng 7 năm 2026. Khoản 2 Điều 5 Nghị quyết số 18/2026/NQ-CP quy định các quy định về cắt giảm điều kiện đầu tư kinh doanh tại Mục 2 Phụ lục II có hiệu lực cùng thời điểm với Phụ lục IV Luật Đầu tư năm 2025. Trong khi đó, Nghị định số 144/2020/NĐ-CP hiện vẫn quy định điều kiện tổ chức biểu diễn nghệ thuật, tổ chức cuộc thi, liên hoan và thi người đẹp, người mẫu theo phương thức quản lý bằng điều kiện kinh doanh, chưa có biện pháp quản lý thay thế.</w:t>
      </w:r>
    </w:p>
    <w:p>
      <w:pPr>
        <w:spacing w:before="120" w:after="120" w:line="360" w:lineRule="exact"/>
        <w:ind w:firstLine="567"/>
        <w:jc w:val="both"/>
      </w:pPr>
      <w:r>
        <w:rPr>
          <w:rFonts w:ascii="Times New Roman" w:hAnsi="Times New Roman" w:cs="Times New Roman" w:eastAsia="Times New Roman"/>
          <w:b w:val="0"/>
          <w:i w:val="0"/>
          <w:sz w:val="28"/>
        </w:rPr>
        <w:t>Việc tiếp nhận thông báo tổ chức biểu diễn nghệ thuật quy định tại điểm b khoản 3 Điều 9 Nghị định số 144/2020/NĐ-CP, tiếp nhận thông báo tổ chức cuộc thi, liên hoan các loại hình nghệ thuật biểu diễn quy định tại điểm b khoản 2 Điều 12 Nghị định số 144/2020/NĐ-CP được phân cấp cho Ủy ban nhân dân cấp xã theo quy định tại Nghị định số 137/2025/NĐ-CP, hết hiệu lực kể từ ngày 01 tháng 3 năm 2027.</w:t>
      </w:r>
    </w:p>
    <w:p>
      <w:pPr>
        <w:spacing w:before="120" w:after="120" w:line="360" w:lineRule="exact"/>
        <w:ind w:firstLine="567"/>
        <w:jc w:val="both"/>
      </w:pPr>
      <w:r>
        <w:rPr>
          <w:rFonts w:ascii="Times New Roman" w:hAnsi="Times New Roman" w:cs="Times New Roman" w:eastAsia="Times New Roman"/>
          <w:b w:val="0"/>
          <w:i w:val="0"/>
          <w:sz w:val="28"/>
        </w:rPr>
        <w:t>Các thủ tục hiện thuộc thẩm quyền giải quyết của Bộ Văn hóa, Thể thao và Du lịch, gồm: Chấp thuận tổ chức biểu diễn nghệ thuật trong khuôn khổ hợp tác quốc tế của các hội chuyên ngành về nghệ thuật biểu diễn thuộc Trung ương, đơn vị sự nghiệp công lập có chức năng biểu diễn nghệ thuật thuộc Trung ương; Chấp thuận tổ chức cuộc thi, liên hoan toàn quốc và quốc tế của các hội chuyên ngành về nghệ thuật biểu diễn thuộc Trung ương, đơn vị sự nghiệp công lập có chức năng biểu diễn nghệ thuật thuộc Trung ương. Những thủ tục trên đây đã được Chính phủ xác định thực hiện phân cấp cho Ủy ban nhân dân cấp tỉnh tại mục II và mục III Phụ lục I Nghị quyết số 18/2026/NQ-CP.</w:t>
      </w:r>
    </w:p>
    <w:p>
      <w:pPr>
        <w:spacing w:before="120" w:after="120" w:line="360" w:lineRule="exact"/>
        <w:ind w:firstLine="567"/>
        <w:jc w:val="both"/>
      </w:pPr>
      <w:r>
        <w:rPr>
          <w:rFonts w:ascii="Times New Roman" w:hAnsi="Times New Roman" w:cs="Times New Roman" w:eastAsia="Times New Roman"/>
          <w:b w:val="0"/>
          <w:i w:val="0"/>
          <w:sz w:val="28"/>
        </w:rPr>
        <w:t>Một số thủ tục hành chính, điều kiện đầu tư kinh doanh đối với hoạt động tổ chức biểu diễn nghệ thuật, tổ chức cuộc thi, liên hoan, tổ chức cuộc thi người đẹp, người mẫu quy định tại khoản 1 Điều 10, khoản 1 Điều 13, khoản 1 Điều 16 Nghị định số 144/2020/NĐ-CP đã được cắt giảm, đơn giản hóa tại Phụ lục II Nghị quyết số 18/2026/NQ-CP. Điều 22 Nghị định số 144/2020/NĐ-CP được xác định phải sửa đổi tại Phụ lục II Nghị quyết số 66.18/2026/NQ-CP.</w:t>
      </w:r>
    </w:p>
    <w:p>
      <w:pPr>
        <w:spacing w:before="120" w:after="120" w:line="360" w:lineRule="exact"/>
        <w:ind w:firstLine="567"/>
        <w:jc w:val="both"/>
      </w:pPr>
      <w:r>
        <w:rPr>
          <w:rFonts w:ascii="Times New Roman" w:hAnsi="Times New Roman" w:cs="Times New Roman" w:eastAsia="Times New Roman"/>
          <w:b w:val="0"/>
          <w:i w:val="0"/>
          <w:sz w:val="28"/>
        </w:rPr>
        <w:t>Với các quy định trên, nếu không kịp thời sửa đổi, bổ sung Nghị định số 144/2020/NĐ-CP sẽ phát sinh thiếu thống nhất với Luật Đầu tư năm 2025 và các nghị quyết của Chính phủ; đồng thời dẫn đến khoảng trống pháp lý trong quản lý nhà nước đối với hoạt động nghệ thuật biểu diễn kể từ ngày 01 tháng 7 năm 2026. Vì vậy, việc xây dựng, ban hành Nghị định sửa đổi, bổ sung một số điều của Nghị định số 144/2020/NĐ-CP là cần thiết, cấp bách nhằm bảo đảm tính thống nhất, đồng bộ của hệ thống pháp luật; kịp thời triển khai các chủ trương phân cấp, phân quyền, cải cách thủ tục hành chính của Chính phủ, không làm gián đoạn hoạt động quản lý nhà nước đối với lĩnh vực nghệ thuật biểu diễn.</w:t>
      </w:r>
    </w:p>
    <w:p>
      <w:pPr>
        <w:keepNext/>
        <w:spacing w:before="120" w:after="120" w:line="360" w:lineRule="exact"/>
        <w:ind w:firstLine="567"/>
        <w:jc w:val="both"/>
      </w:pPr>
      <w:r>
        <w:rPr>
          <w:rFonts w:ascii="Times New Roman" w:hAnsi="Times New Roman" w:cs="Times New Roman" w:eastAsia="Times New Roman"/>
          <w:b/>
          <w:i w:val="0"/>
          <w:sz w:val="28"/>
        </w:rPr>
        <w:t>II. MỤC ĐÍCH BAN HÀNH, QUAN ĐIỂM XÂY DỰNG DỰ THẢO VĂN BẢN</w:t>
      </w:r>
    </w:p>
    <w:p>
      <w:pPr>
        <w:keepNext/>
        <w:spacing w:before="120" w:after="120" w:line="360" w:lineRule="exact"/>
        <w:ind w:firstLine="567"/>
        <w:jc w:val="both"/>
      </w:pPr>
      <w:r>
        <w:rPr>
          <w:rFonts w:ascii="Times New Roman" w:hAnsi="Times New Roman" w:cs="Times New Roman" w:eastAsia="Times New Roman"/>
          <w:b/>
          <w:i w:val="0"/>
          <w:sz w:val="28"/>
        </w:rPr>
        <w:t>1. Mục đích ban hành văn bản</w:t>
      </w:r>
    </w:p>
    <w:p>
      <w:pPr>
        <w:spacing w:before="120" w:after="120" w:line="360" w:lineRule="exact"/>
        <w:ind w:firstLine="567"/>
        <w:jc w:val="both"/>
      </w:pPr>
      <w:r>
        <w:rPr>
          <w:rFonts w:ascii="Times New Roman" w:hAnsi="Times New Roman" w:cs="Times New Roman" w:eastAsia="Times New Roman"/>
          <w:b w:val="0"/>
          <w:i w:val="0"/>
          <w:sz w:val="28"/>
        </w:rPr>
        <w:t>Kịp thời thể chế hóa các quy định của Luật Đầu tư năm 2025 và các nghị quyết, nghị định của Chính phủ về cắt giảm, phân cấp, đơn giản hóa thủ tục hành chính, điều kiện đầu tư kinh doanh; bảo đảm có biện pháp quản lý thay thế, tuyệt đối không để xảy ra khoảng trống pháp lý, lỗ hổng trong quản lý nhà nước đối với hoạt động nghệ thuật biểu diễn.</w:t>
      </w:r>
    </w:p>
    <w:p>
      <w:pPr>
        <w:keepNext/>
        <w:spacing w:before="120" w:after="120" w:line="360" w:lineRule="exact"/>
        <w:ind w:firstLine="567"/>
        <w:jc w:val="both"/>
      </w:pPr>
      <w:r>
        <w:rPr>
          <w:rFonts w:ascii="Times New Roman" w:hAnsi="Times New Roman" w:cs="Times New Roman" w:eastAsia="Times New Roman"/>
          <w:b/>
          <w:i w:val="0"/>
          <w:sz w:val="28"/>
        </w:rPr>
        <w:t>2. Quan điểm xây dựng dự thảo văn bản</w:t>
      </w:r>
    </w:p>
    <w:p>
      <w:pPr>
        <w:spacing w:before="120" w:after="120" w:line="360" w:lineRule="exact"/>
        <w:ind w:firstLine="567"/>
        <w:jc w:val="both"/>
      </w:pPr>
      <w:r>
        <w:rPr>
          <w:rFonts w:ascii="Times New Roman" w:hAnsi="Times New Roman" w:cs="Times New Roman" w:eastAsia="Times New Roman"/>
          <w:b w:val="0"/>
          <w:i w:val="0"/>
          <w:sz w:val="28"/>
        </w:rPr>
        <w:t>Việc sửa đổi, bổ sung Nghị định không nhằm ban hành chính sách mới mà chủ yếu để thể chế hóa kịp thời các quy định của Luật Đầu tư năm 2025 và các nghị quyết, nghị định của Chính phủ về cắt giảm, phân cấp, đơn giản hóa thủ tục hành chính, điều kiện đầu tư kinh doanh.</w:t>
      </w:r>
    </w:p>
    <w:p>
      <w:pPr>
        <w:spacing w:before="120" w:after="120" w:line="360" w:lineRule="exact"/>
        <w:ind w:firstLine="567"/>
        <w:jc w:val="both"/>
      </w:pPr>
      <w:r>
        <w:rPr>
          <w:rFonts w:ascii="Times New Roman" w:hAnsi="Times New Roman" w:cs="Times New Roman" w:eastAsia="Times New Roman"/>
          <w:b w:val="0"/>
          <w:i w:val="0"/>
          <w:sz w:val="28"/>
        </w:rPr>
        <w:t>Dự thảo Nghị định chỉ sửa đổi, bổ sung các nội dung cần sửa đổi ngay để bảo đảm phù hợp với văn bản quy phạm pháp luật mới được ban hành; không làm phát sinh điều kiện đầu tư kinh doanh, không làm phát sinh thủ tục hành chính mới.</w:t>
      </w:r>
    </w:p>
    <w:p>
      <w:pPr>
        <w:spacing w:before="120" w:after="120" w:line="360" w:lineRule="exact"/>
        <w:ind w:firstLine="567"/>
        <w:jc w:val="both"/>
      </w:pPr>
      <w:r>
        <w:rPr>
          <w:rFonts w:ascii="Times New Roman" w:hAnsi="Times New Roman" w:cs="Times New Roman" w:eastAsia="Times New Roman"/>
          <w:b w:val="0"/>
          <w:i w:val="0"/>
          <w:sz w:val="28"/>
        </w:rPr>
        <w:t>Chuyển phương thức quản lý từ tiền kiểm sang hậu kiểm; kế thừa các quy định hiện hành còn phù hợp; quy định rõ trách nhiệm của cơ quan nhà nước trong tiếp nhận thông báo, theo dõi, kiểm tra và xử lý vi phạm.</w:t>
      </w:r>
    </w:p>
    <w:p>
      <w:pPr>
        <w:keepNext/>
        <w:spacing w:before="120" w:after="120" w:line="360" w:lineRule="exact"/>
        <w:ind w:firstLine="567"/>
        <w:jc w:val="both"/>
      </w:pPr>
      <w:r>
        <w:rPr>
          <w:rFonts w:ascii="Times New Roman" w:hAnsi="Times New Roman" w:cs="Times New Roman" w:eastAsia="Times New Roman"/>
          <w:b/>
          <w:i w:val="0"/>
          <w:sz w:val="28"/>
        </w:rPr>
        <w:t>III. QUÁ TRÌNH XÂY DỰNG DỰ THẢO VĂN BẢN</w:t>
      </w:r>
    </w:p>
    <w:p>
      <w:pPr>
        <w:spacing w:before="120" w:after="120" w:line="360" w:lineRule="exact"/>
        <w:ind w:firstLine="567"/>
        <w:jc w:val="both"/>
      </w:pPr>
      <w:r>
        <w:rPr>
          <w:rFonts w:ascii="Times New Roman" w:hAnsi="Times New Roman" w:cs="Times New Roman" w:eastAsia="Times New Roman"/>
          <w:b w:val="0"/>
          <w:i w:val="0"/>
          <w:sz w:val="28"/>
        </w:rPr>
        <w:t>Trên cơ sở ý kiến phối hợp của Bộ Tư pháp tại Công văn số 4348/BTP-CTXDVBQPPL ngày 17 tháng 6 năm 2026 và Công văn số 6817/BTP-CTXDVBQPPL ngày 29 tháng 8 năm 2026, ngày 10 tháng 9 năm 2026, Bộ Văn hóa, Thể thao và Du lịch có Tờ trình số 525/TTr-BVHTTDL trình Thủ tướng Chính phủ đề nghị áp dụng trình tự, thủ tục rút gọn. Ngày 16 tháng 9 năm 2026, Văn phòng Chính phủ có Công văn số 9432/VPCP-KGVX truyền đạt ý kiến đồng ý của Phó Thủ tướng Chính phủ Phạm Thị Thanh Trà.</w:t>
      </w:r>
    </w:p>
    <w:p>
      <w:pPr>
        <w:spacing w:before="120" w:after="120" w:line="360" w:lineRule="exact"/>
        <w:ind w:firstLine="567"/>
        <w:jc w:val="both"/>
      </w:pPr>
      <w:r>
        <w:rPr>
          <w:rFonts w:ascii="Times New Roman" w:hAnsi="Times New Roman" w:cs="Times New Roman" w:eastAsia="Times New Roman"/>
          <w:b w:val="0"/>
          <w:i w:val="0"/>
          <w:sz w:val="28"/>
        </w:rPr>
        <w:t>Ngày            tháng            năm 2026, Bộ Văn hóa, Thể thao và Du lịch có Công văn số                  /BVHTTDL-NTBD lấy ý kiến các bộ, cơ quan ngang bộ, Ủy ban nhân dân các tỉnh, thành phố trực thuộc Trung ương, các cơ quan, tổ chức có liên quan và đối tượng chịu sự tác động trực tiếp; đồng thời đăng tải dự thảo trên Cổng thông tin điện tử của Bộ. [HOÀN THIỆN SAU khi phát hành Công văn: số, ngày công văn; mốc đăng tải; số văn bản góp ý và kết quả tiếp thu.]</w:t>
      </w:r>
    </w:p>
    <w:p>
      <w:pPr>
        <w:spacing w:before="120" w:after="120" w:line="360" w:lineRule="exact"/>
        <w:ind w:firstLine="567"/>
        <w:jc w:val="both"/>
      </w:pPr>
      <w:r>
        <w:rPr>
          <w:rFonts w:ascii="Times New Roman" w:hAnsi="Times New Roman" w:cs="Times New Roman" w:eastAsia="Times New Roman"/>
          <w:b w:val="0"/>
          <w:i w:val="0"/>
          <w:sz w:val="28"/>
        </w:rPr>
        <w:t>Ngày            tháng            năm 2026, Bộ Tư pháp có Báo cáo thẩm định số                   [HOÀN THIỆN SAU khi có Báo cáo thẩm định.]</w:t>
      </w:r>
    </w:p>
    <w:p>
      <w:pPr>
        <w:keepNext/>
        <w:spacing w:before="120" w:after="120" w:line="360" w:lineRule="exact"/>
        <w:ind w:firstLine="567"/>
        <w:jc w:val="both"/>
      </w:pPr>
      <w:r>
        <w:rPr>
          <w:rFonts w:ascii="Times New Roman" w:hAnsi="Times New Roman" w:cs="Times New Roman" w:eastAsia="Times New Roman"/>
          <w:b/>
          <w:i w:val="0"/>
          <w:sz w:val="28"/>
        </w:rPr>
        <w:t>IV. BỐ CỤC VÀ NỘI DUNG CƠ BẢN CỦA DỰ THẢO VĂN BẢN</w:t>
      </w:r>
    </w:p>
    <w:p>
      <w:pPr>
        <w:keepNext/>
        <w:spacing w:before="120" w:after="120" w:line="360" w:lineRule="exact"/>
        <w:ind w:firstLine="567"/>
        <w:jc w:val="both"/>
      </w:pPr>
      <w:r>
        <w:rPr>
          <w:rFonts w:ascii="Times New Roman" w:hAnsi="Times New Roman" w:cs="Times New Roman" w:eastAsia="Times New Roman"/>
          <w:b/>
          <w:i w:val="0"/>
          <w:sz w:val="28"/>
        </w:rPr>
        <w:t>1. Phạm vi điều chỉnh, đối tượng áp dụng</w:t>
      </w:r>
    </w:p>
    <w:p>
      <w:pPr>
        <w:spacing w:before="120" w:after="120" w:line="360" w:lineRule="exact"/>
        <w:ind w:firstLine="567"/>
        <w:jc w:val="both"/>
      </w:pPr>
      <w:r>
        <w:rPr>
          <w:rFonts w:ascii="Times New Roman" w:hAnsi="Times New Roman" w:cs="Times New Roman" w:eastAsia="Times New Roman"/>
          <w:b w:val="0"/>
          <w:i w:val="0"/>
          <w:sz w:val="28"/>
        </w:rPr>
        <w:t>Dự thảo Nghị định giữ nguyên phạm vi điều chỉnh và đối tượng áp dụng của Nghị định số 144/2020/NĐ-CP; không bổ sung chính sách quản lý nhà nước mới, không làm thay đổi nội dung quản lý nhà nước cơ bản trong lĩnh vực nghệ thuật biểu diễn mà chủ yếu nhằm cập nhật, đồng bộ quy định pháp luật hiện hành và tổ chức thực hiện các yêu cầu phân cấp, cải cách thủ tục hành chính theo chỉ đạo của Chính phủ.</w:t>
      </w:r>
    </w:p>
    <w:p>
      <w:pPr>
        <w:spacing w:before="120" w:after="120" w:line="360" w:lineRule="exact"/>
        <w:ind w:firstLine="567"/>
        <w:jc w:val="both"/>
      </w:pPr>
      <w:r>
        <w:rPr>
          <w:rFonts w:ascii="Times New Roman" w:hAnsi="Times New Roman" w:cs="Times New Roman" w:eastAsia="Times New Roman"/>
          <w:b w:val="0"/>
          <w:i w:val="0"/>
          <w:sz w:val="28"/>
        </w:rPr>
        <w:t>Dự thảo Nghị định quy định biện pháp cụ thể để tổ chức thi hành Luật Đầu tư năm 2025 và phân cấp nhiệm vụ, quyền hạn theo điểm b khoản 1 Điều 14 Luật Ban hành văn bản quy phạm pháp luật năm 2025; không quy định vấn đề thuộc thẩm quyền của Quốc hội, Ủy ban Thường vụ Quốc hội.</w:t>
      </w:r>
    </w:p>
    <w:p>
      <w:pPr>
        <w:keepNext/>
        <w:spacing w:before="120" w:after="120" w:line="360" w:lineRule="exact"/>
        <w:ind w:firstLine="567"/>
        <w:jc w:val="both"/>
      </w:pPr>
      <w:r>
        <w:rPr>
          <w:rFonts w:ascii="Times New Roman" w:hAnsi="Times New Roman" w:cs="Times New Roman" w:eastAsia="Times New Roman"/>
          <w:b/>
          <w:i w:val="0"/>
          <w:sz w:val="28"/>
        </w:rPr>
        <w:t>2. Bố cục của dự thảo văn bản</w:t>
      </w:r>
    </w:p>
    <w:p>
      <w:pPr>
        <w:spacing w:before="120" w:after="120" w:line="360" w:lineRule="exact"/>
        <w:ind w:firstLine="567"/>
        <w:jc w:val="both"/>
      </w:pPr>
      <w:r>
        <w:rPr>
          <w:rFonts w:ascii="Times New Roman" w:hAnsi="Times New Roman" w:cs="Times New Roman" w:eastAsia="Times New Roman"/>
          <w:b w:val="0"/>
          <w:i w:val="0"/>
          <w:sz w:val="28"/>
        </w:rPr>
        <w:t>Dự thảo Nghị định gồm 02 điều: Điều 1 sửa đổi, bổ sung một số điều của Nghị định số 144/2020/NĐ-CP, gồm 20 khoản; Điều 2 quy định hiệu lực thi hành và điều khoản chuyển tiếp, gồm 06 khoản.</w:t>
      </w:r>
    </w:p>
    <w:p>
      <w:pPr>
        <w:keepNext/>
        <w:spacing w:before="120" w:after="120" w:line="360" w:lineRule="exact"/>
        <w:ind w:firstLine="567"/>
        <w:jc w:val="both"/>
      </w:pPr>
      <w:r>
        <w:rPr>
          <w:rFonts w:ascii="Times New Roman" w:hAnsi="Times New Roman" w:cs="Times New Roman" w:eastAsia="Times New Roman"/>
          <w:b/>
          <w:i w:val="0"/>
          <w:sz w:val="28"/>
        </w:rPr>
        <w:t>3. Nội dung cơ bản</w:t>
      </w:r>
    </w:p>
    <w:p>
      <w:pPr>
        <w:spacing w:before="120" w:after="120" w:line="360" w:lineRule="exact"/>
        <w:ind w:firstLine="567"/>
        <w:jc w:val="both"/>
      </w:pPr>
      <w:r>
        <w:rPr>
          <w:rFonts w:ascii="Times New Roman" w:hAnsi="Times New Roman" w:cs="Times New Roman" w:eastAsia="Times New Roman"/>
          <w:b w:val="0"/>
          <w:i w:val="0"/>
          <w:sz w:val="28"/>
        </w:rPr>
        <w:t>Dự thảo Nghị định được xây dựng nhằm kịp thời thể chế hóa các nội dung của Luật Đầu tư năm 2025 cũng như các văn bản quy phạm pháp luật của Chính phủ, gồm: Nghị định số 137/2025/NĐ-CP; Nghị định số 116/2026/NĐ-CP; Nghị quyết số 18/2026/NQ-CP; Nghị quyết số 66.18/2026/NQ-CP. Nội dung sửa đổi, bổ sung tập trung vào bãi bỏ các quy định về điều kiện đầu tư kinh doanh không còn phù hợp với Luật Đầu tư năm 2025; sửa đổi các quy định về thẩm quyền quản lý nhà nước đang thuộc Bộ Văn hóa, Thể thao và Du lịch theo hướng phân cấp cho địa phương; sửa đổi quy định về cơ quan tiếp nhận thông báo phù hợp với mô hình chính quyền địa phương hai cấp; tháo gỡ khó khăn trong quá trình thực hiện thủ tục hành chính cho người dân và cơ quan quản lý nhà nước trong quá trình phân cấp. Cụ thể như sau:</w:t>
      </w:r>
    </w:p>
    <w:p>
      <w:pPr>
        <w:keepNext/>
        <w:spacing w:before="120" w:after="120" w:line="360" w:lineRule="exact"/>
        <w:ind w:firstLine="567"/>
        <w:jc w:val="both"/>
      </w:pPr>
      <w:r>
        <w:rPr>
          <w:rFonts w:ascii="Times New Roman" w:hAnsi="Times New Roman" w:cs="Times New Roman" w:eastAsia="Times New Roman"/>
          <w:b/>
          <w:i w:val="0"/>
          <w:sz w:val="28"/>
        </w:rPr>
        <w:t>a) Nội dung sửa đổi, hoàn thiện</w:t>
      </w:r>
    </w:p>
    <w:p>
      <w:pPr>
        <w:spacing w:before="120" w:after="120" w:line="360" w:lineRule="exact"/>
        <w:ind w:firstLine="567"/>
        <w:jc w:val="both"/>
      </w:pPr>
      <w:r>
        <w:rPr>
          <w:rFonts w:ascii="Times New Roman" w:hAnsi="Times New Roman" w:cs="Times New Roman" w:eastAsia="Times New Roman"/>
          <w:b w:val="0"/>
          <w:i w:val="0"/>
          <w:sz w:val="28"/>
        </w:rPr>
        <w:t>Sửa đổi khoản 2 và khoản 3 Điều 8, khoản 2 Điều 11, khoản 2 Điều 14 để chuyển các hình thức tổ chức biểu diễn nghệ thuật, tổ chức cuộc thi, liên hoan, tổ chức cuộc thi người đẹp, người mẫu trước đây phải được chấp thuận sang thực hiện thông báo. Khoản 2 Điều 8 xác định chủ thể tổ chức là chính cơ sở kinh doanh và thay cụm từ "không bán vé" bằng "không thu riêng khoản tiền nào cho việc xem biểu diễn nghệ thuật", do cụm từ "không bán vé" chưa được giải thích tại Điều 2 Nghị định số 144/2020/NĐ-CP.</w:t>
      </w:r>
    </w:p>
    <w:p>
      <w:pPr>
        <w:spacing w:before="120" w:after="120" w:line="360" w:lineRule="exact"/>
        <w:ind w:firstLine="567"/>
        <w:jc w:val="both"/>
      </w:pPr>
      <w:r>
        <w:rPr>
          <w:rFonts w:ascii="Times New Roman" w:hAnsi="Times New Roman" w:cs="Times New Roman" w:eastAsia="Times New Roman"/>
          <w:b w:val="0"/>
          <w:i w:val="0"/>
          <w:sz w:val="28"/>
        </w:rPr>
        <w:t>Sửa đổi, bổ sung các Điều 9, 12 và 15 về thông báo theo kết cấu thống nhất: nghĩa vụ thông báo; cơ quan tiếp nhận thông báo; trình tự thông báo; trách nhiệm của cơ quan tiếp nhận thông báo. Thời hạn thông báo kế thừa quy định hiện hành.</w:t>
      </w:r>
    </w:p>
    <w:p>
      <w:pPr>
        <w:spacing w:before="120" w:after="120" w:line="360" w:lineRule="exact"/>
        <w:ind w:firstLine="567"/>
        <w:jc w:val="both"/>
      </w:pPr>
      <w:r>
        <w:rPr>
          <w:rFonts w:ascii="Times New Roman" w:hAnsi="Times New Roman" w:cs="Times New Roman" w:eastAsia="Times New Roman"/>
          <w:b w:val="0"/>
          <w:i w:val="0"/>
          <w:sz w:val="28"/>
        </w:rPr>
        <w:t>Sửa đổi, bổ sung Điều 17 về dừng hoạt động biểu diễn nghệ thuật; điểm b khoản 1 Điều 18; Điều 23 về lưu chiểu bản ghi âm, ghi hình; khoản 1 Điều 29 về trách nhiệm của Ủy ban nhân dân cấp tỉnh. Sửa đổi điểm g khoản 2 Điều 4, điểm c khoản 2 Điều 5 để bỏ dẫn chiếu tới Điều 20 bị bãi bỏ.</w:t>
      </w:r>
    </w:p>
    <w:p>
      <w:pPr>
        <w:keepNext/>
        <w:spacing w:before="120" w:after="120" w:line="360" w:lineRule="exact"/>
        <w:ind w:firstLine="567"/>
        <w:jc w:val="both"/>
      </w:pPr>
      <w:r>
        <w:rPr>
          <w:rFonts w:ascii="Times New Roman" w:hAnsi="Times New Roman" w:cs="Times New Roman" w:eastAsia="Times New Roman"/>
          <w:b/>
          <w:i w:val="0"/>
          <w:sz w:val="28"/>
        </w:rPr>
        <w:t>b) Nội dung bổ sung</w:t>
      </w:r>
    </w:p>
    <w:p>
      <w:pPr>
        <w:spacing w:before="120" w:after="120" w:line="360" w:lineRule="exact"/>
        <w:ind w:firstLine="567"/>
        <w:jc w:val="both"/>
      </w:pPr>
      <w:r>
        <w:rPr>
          <w:rFonts w:ascii="Times New Roman" w:hAnsi="Times New Roman" w:cs="Times New Roman" w:eastAsia="Times New Roman"/>
          <w:b w:val="0"/>
          <w:i w:val="0"/>
          <w:sz w:val="28"/>
        </w:rPr>
        <w:t>Bổ sung các biện pháp quản lý thay thế cho điều kiện đầu tư kinh doanh đã cắt giảm. Thông báo đối với hoạt động có thu tiền phải kèm kịch bản chương trình và danh mục tác phẩm; thông báo tổ chức cuộc thi, liên hoan phải kèm đề án với nội dung quy định tại Nghị định. Cơ quan tiếp nhận thông báo có trách nhiệm công khai thông tin ngay khi tiếp nhận; ghi thời điểm tiếp nhận và gửi lại thông báo cho tổ chức, cá nhân; chuyển thông báo gửi không đúng thẩm quyền; yêu cầu bổ sung một lần; rà soát, theo dõi, kiểm tra và yêu cầu dừng hoạt động khi phát hiện vi phạm.</w:t>
      </w:r>
    </w:p>
    <w:p>
      <w:pPr>
        <w:spacing w:before="120" w:after="120" w:line="360" w:lineRule="exact"/>
        <w:ind w:firstLine="567"/>
        <w:jc w:val="both"/>
      </w:pPr>
      <w:r>
        <w:rPr>
          <w:rFonts w:ascii="Times New Roman" w:hAnsi="Times New Roman" w:cs="Times New Roman" w:eastAsia="Times New Roman"/>
          <w:b w:val="0"/>
          <w:i w:val="0"/>
          <w:sz w:val="28"/>
        </w:rPr>
        <w:t>Bổ sung căn cứ dừng hoạt động khi nội dung, tiết mục biểu diễn thực tế khác với nội dung đã thông báo và khi không bổ sung nội dung, tài liệu theo yêu cầu; bổ sung thẩm quyền yêu cầu dừng của Ủy ban nhân dân cấp tỉnh nơi diễn ra hoạt động; bổ sung nghĩa vụ đăng tải văn bản yêu cầu dừng ngay trong ngày ban hành.</w:t>
      </w:r>
    </w:p>
    <w:p>
      <w:pPr>
        <w:spacing w:before="120" w:after="120" w:line="360" w:lineRule="exact"/>
        <w:ind w:firstLine="567"/>
        <w:jc w:val="both"/>
      </w:pPr>
      <w:r>
        <w:rPr>
          <w:rFonts w:ascii="Times New Roman" w:hAnsi="Times New Roman" w:cs="Times New Roman" w:eastAsia="Times New Roman"/>
          <w:b w:val="0"/>
          <w:i w:val="0"/>
          <w:sz w:val="28"/>
        </w:rPr>
        <w:t>Bổ sung khoản 4a Điều 27 về trách nhiệm của Bộ Văn hóa, Thể thao và Du lịch quản lý hoạt động biểu diễn nghệ thuật được truyền tải trên hệ thống phát thanh, truyền hình, thông tin điện tử và môi trường mạng, tiếp nhận nhiệm vụ tại khoản 1 Điều 28 do Bộ Thông tin và Truyền thông đã hợp nhất.</w:t>
      </w:r>
    </w:p>
    <w:p>
      <w:pPr>
        <w:keepNext/>
        <w:spacing w:before="120" w:after="120" w:line="360" w:lineRule="exact"/>
        <w:ind w:firstLine="567"/>
        <w:jc w:val="both"/>
      </w:pPr>
      <w:r>
        <w:rPr>
          <w:rFonts w:ascii="Times New Roman" w:hAnsi="Times New Roman" w:cs="Times New Roman" w:eastAsia="Times New Roman"/>
          <w:b/>
          <w:i w:val="0"/>
          <w:sz w:val="28"/>
        </w:rPr>
        <w:t>c) Nội dung lược bỏ</w:t>
      </w:r>
    </w:p>
    <w:p>
      <w:pPr>
        <w:spacing w:before="120" w:after="120" w:line="360" w:lineRule="exact"/>
        <w:ind w:firstLine="567"/>
        <w:jc w:val="both"/>
      </w:pPr>
      <w:r>
        <w:rPr>
          <w:rFonts w:ascii="Times New Roman" w:hAnsi="Times New Roman" w:cs="Times New Roman" w:eastAsia="Times New Roman"/>
          <w:b w:val="0"/>
          <w:i w:val="0"/>
          <w:sz w:val="28"/>
        </w:rPr>
        <w:t>Bãi bỏ các Điều 10, 13 và 16; Mục 5 gồm Điều 19 và Điều 20; Điều 22; khoản 1 Điều 28; các Mẫu số 02, 03, 04, 05, 06, 07, 08, 09, 10 và 11.</w:t>
      </w:r>
    </w:p>
    <w:p>
      <w:pPr>
        <w:keepNext/>
        <w:spacing w:before="120" w:after="120" w:line="360" w:lineRule="exact"/>
        <w:ind w:firstLine="567"/>
        <w:jc w:val="both"/>
      </w:pPr>
      <w:r>
        <w:rPr>
          <w:rFonts w:ascii="Times New Roman" w:hAnsi="Times New Roman" w:cs="Times New Roman" w:eastAsia="Times New Roman"/>
          <w:b/>
          <w:i w:val="0"/>
          <w:sz w:val="28"/>
        </w:rPr>
        <w:t>d) Nội dung cắt giảm, đơn giản hóa thủ tục hành chính</w:t>
      </w:r>
    </w:p>
    <w:p>
      <w:pPr>
        <w:spacing w:before="120" w:after="120" w:line="360" w:lineRule="exact"/>
        <w:ind w:firstLine="567"/>
        <w:jc w:val="both"/>
      </w:pPr>
      <w:r>
        <w:rPr>
          <w:rFonts w:ascii="Times New Roman" w:hAnsi="Times New Roman" w:cs="Times New Roman" w:eastAsia="Times New Roman"/>
          <w:b w:val="0"/>
          <w:i w:val="0"/>
          <w:sz w:val="28"/>
        </w:rPr>
        <w:t>Bãi bỏ 04 thủ tục hành chính: Thủ tục cấp văn bản chấp thuận tổ chức biểu diễn nghệ thuật; Thủ tục cấp văn bản chấp thuận tổ chức cuộc thi, liên hoan các loại hình nghệ thuật biểu diễn; Thủ tục cấp văn bản chấp thuận tổ chức cuộc thi người đẹp, người mẫu; Thủ tục cấp văn bản xác nhận dự thi người đẹp, người mẫu ở nước ngoài. Dự thảo Nghị định không quy định thủ tục hành chính mới.</w:t>
      </w:r>
    </w:p>
    <w:p>
      <w:pPr>
        <w:spacing w:before="120" w:after="120" w:line="360" w:lineRule="exact"/>
        <w:ind w:firstLine="567"/>
        <w:jc w:val="both"/>
      </w:pPr>
      <w:r>
        <w:rPr>
          <w:rFonts w:ascii="Times New Roman" w:hAnsi="Times New Roman" w:cs="Times New Roman" w:eastAsia="Times New Roman"/>
          <w:b w:val="0"/>
          <w:i w:val="0"/>
          <w:sz w:val="28"/>
        </w:rPr>
        <w:t>Việc thông báo và việc nộp lưu chiểu theo dự thảo Nghị định không phải là thủ tục hành chính. Theo khoản 1 Điều 3 Nghị định số 63/2010/NĐ-CP ngày 08 tháng 6 năm 2010 của Chính phủ về kiểm soát thủ tục hành chính, thủ tục hành chính là trình tự, cách thức thực hiện, hồ sơ và yêu cầu, điều kiện do cơ quan nhà nước, người có thẩm quyền quy định để giải quyết một công việc cụ thể liên quan đến cá nhân, tổ chức. Tổ chức, cá nhân đã thông báo đúng, đủ và không bị yêu cầu dừng thì được tổ chức hoạt động, không chờ văn bản cho phép của cơ quan nhà nước. Việc nộp lưu chiểu không kèm theo quyết định giải quyết; trách nhiệm của cơ quan nhận lưu chiểu tại Điều 24 Nghị định số 144/2020/NĐ-CP là kiểm tra, đình chỉ lưu hành khi phát hiện vi phạm. Sau khi Nghị định được ban hành, Bộ Văn hóa, Thể thao và Du lịch công bố bãi bỏ các thủ tục hành chính có liên quan theo quy định của pháp luật về kiểm soát thủ tục hành chính.</w:t>
      </w:r>
    </w:p>
    <w:p>
      <w:pPr>
        <w:keepNext/>
        <w:spacing w:before="120" w:after="120" w:line="360" w:lineRule="exact"/>
        <w:ind w:firstLine="567"/>
        <w:jc w:val="both"/>
      </w:pPr>
      <w:r>
        <w:rPr>
          <w:rFonts w:ascii="Times New Roman" w:hAnsi="Times New Roman" w:cs="Times New Roman" w:eastAsia="Times New Roman"/>
          <w:b/>
          <w:i w:val="0"/>
          <w:sz w:val="28"/>
        </w:rPr>
        <w:t>đ) Nội dung phân quyền, phân cấp</w:t>
      </w:r>
    </w:p>
    <w:p>
      <w:pPr>
        <w:spacing w:before="120" w:after="120" w:line="360" w:lineRule="exact"/>
        <w:ind w:firstLine="567"/>
        <w:jc w:val="both"/>
      </w:pPr>
      <w:r>
        <w:rPr>
          <w:rFonts w:ascii="Times New Roman" w:hAnsi="Times New Roman" w:cs="Times New Roman" w:eastAsia="Times New Roman"/>
          <w:b w:val="0"/>
          <w:i w:val="0"/>
          <w:sz w:val="28"/>
        </w:rPr>
        <w:t>Dự thảo Nghị định không quy định phân quyền.</w:t>
      </w:r>
    </w:p>
    <w:p>
      <w:pPr>
        <w:spacing w:before="120" w:after="120" w:line="360" w:lineRule="exact"/>
        <w:ind w:firstLine="567"/>
        <w:jc w:val="both"/>
      </w:pPr>
      <w:r>
        <w:rPr>
          <w:rFonts w:ascii="Times New Roman" w:hAnsi="Times New Roman" w:cs="Times New Roman" w:eastAsia="Times New Roman"/>
          <w:b w:val="0"/>
          <w:i w:val="0"/>
          <w:sz w:val="28"/>
        </w:rPr>
        <w:t>Về phân cấp, dự thảo Nghị định thể chế hóa việc phân cấp tại mục II và mục III Phụ lục I Nghị quyết số 18/2026/NQ-CP: hoạt động biểu diễn nghệ thuật trong khuôn khổ hợp tác quốc tế, cuộc thi, liên hoan toàn quốc và quốc tế của các hội chuyên ngành về nghệ thuật biểu diễn thuộc Trung ương, đơn vị sự nghiệp công lập có chức năng biểu diễn nghệ thuật thuộc Trung ương thuộc thẩm quyền tiếp nhận thông báo của Ủy ban nhân dân cấp tỉnh nơi tổ chức. Việc tiếp nhận lưu chiểu bản ghi âm, ghi hình của tổ chức thuộc cơ quan Trung ương chuyển từ Bộ Văn hóa, Thể thao và Du lịch về Ủy ban nhân dân cấp tỉnh. Thẩm quyền tiếp nhận thông báo đã được phân cấp cho Ủy ban nhân dân cấp xã theo Nghị định số 137/2025/NĐ-CP được quy định trong Nghị định. Bộ Văn hóa, Thể thao và Du lịch tiếp tục thực hiện trách nhiệm quản lý nhà nước theo Điều 27 Nghị định số 144/2020/NĐ-CP.</w:t>
      </w:r>
    </w:p>
    <w:p>
      <w:pPr>
        <w:keepNext/>
        <w:spacing w:before="120" w:after="120" w:line="360" w:lineRule="exact"/>
        <w:ind w:firstLine="567"/>
        <w:jc w:val="both"/>
      </w:pPr>
      <w:r>
        <w:rPr>
          <w:rFonts w:ascii="Times New Roman" w:hAnsi="Times New Roman" w:cs="Times New Roman" w:eastAsia="Times New Roman"/>
          <w:b/>
          <w:i w:val="0"/>
          <w:sz w:val="28"/>
        </w:rPr>
        <w:t>e) Hiệu lực thi hành và điều khoản chuyển tiếp</w:t>
      </w:r>
    </w:p>
    <w:p>
      <w:pPr>
        <w:spacing w:before="120" w:after="120" w:line="360" w:lineRule="exact"/>
        <w:ind w:firstLine="567"/>
        <w:jc w:val="both"/>
      </w:pPr>
      <w:r>
        <w:rPr>
          <w:rFonts w:ascii="Times New Roman" w:hAnsi="Times New Roman" w:cs="Times New Roman" w:eastAsia="Times New Roman"/>
          <w:b w:val="0"/>
          <w:i w:val="0"/>
          <w:sz w:val="28"/>
        </w:rPr>
        <w:t>Nghị định có hiệu lực thi hành kể từ ngày ký ban hành. Điều 7 Nghị định số 137/2025/NĐ-CP, các Điều 8, 9 và 10 Nghị định số 116/2026/NĐ-CP và phần D Mục 3 Phụ lục I.9 ban hành kèm theo Nghị quyết số 66.18/2026/NQ-CP hết hiệu lực kể từ ngày Nghị định có hiệu lực.</w:t>
      </w:r>
    </w:p>
    <w:p>
      <w:pPr>
        <w:spacing w:before="120" w:after="120" w:line="360" w:lineRule="exact"/>
        <w:ind w:firstLine="567"/>
        <w:jc w:val="both"/>
      </w:pPr>
      <w:r>
        <w:rPr>
          <w:rFonts w:ascii="Times New Roman" w:hAnsi="Times New Roman" w:cs="Times New Roman" w:eastAsia="Times New Roman"/>
          <w:b w:val="0"/>
          <w:i w:val="0"/>
          <w:sz w:val="28"/>
        </w:rPr>
        <w:t>Hồ sơ đề nghị chấp thuận đã tiếp nhận mà chưa trả kết quả thì dừng giải quyết, hoàn trả hồ sơ nếu tổ chức, cá nhân có yêu cầu, theo cách xử lý tại khoản 2 Điều 6 Nghị quyết số 18/2026/NQ-CP. Văn bản chấp thuận đã cấp tiếp tục có giá trị thực hiện. Hoạt động đã tổ chức trong thời gian từ ngày 01 tháng 7 năm 2026 đến trước ngày Nghị định có hiệu lực thì không phải thực hiện thông báo.</w:t>
      </w:r>
    </w:p>
    <w:p>
      <w:pPr>
        <w:keepNext/>
        <w:spacing w:before="120" w:after="120" w:line="360" w:lineRule="exact"/>
        <w:ind w:firstLine="567"/>
        <w:jc w:val="both"/>
      </w:pPr>
      <w:r>
        <w:rPr>
          <w:rFonts w:ascii="Times New Roman" w:hAnsi="Times New Roman" w:cs="Times New Roman" w:eastAsia="Times New Roman"/>
          <w:b/>
          <w:i w:val="0"/>
          <w:sz w:val="28"/>
        </w:rPr>
        <w:t>g) Vấn đề còn ý kiến khác nhau</w:t>
      </w:r>
    </w:p>
    <w:p>
      <w:pPr>
        <w:spacing w:before="120" w:after="120" w:line="360" w:lineRule="exact"/>
        <w:ind w:firstLine="567"/>
        <w:jc w:val="both"/>
      </w:pPr>
      <w:r>
        <w:rPr>
          <w:rFonts w:ascii="Times New Roman" w:hAnsi="Times New Roman" w:cs="Times New Roman" w:eastAsia="Times New Roman"/>
          <w:b w:val="0"/>
          <w:i w:val="0"/>
          <w:sz w:val="28"/>
        </w:rPr>
        <w:t>[HOÀN THIỆN SAU khi tổng hợp ý kiến góp ý và có Báo cáo thẩm định.]</w:t>
      </w:r>
    </w:p>
    <w:p>
      <w:pPr>
        <w:keepNext/>
        <w:spacing w:before="120" w:after="120" w:line="360" w:lineRule="exact"/>
        <w:ind w:firstLine="567"/>
        <w:jc w:val="both"/>
      </w:pPr>
      <w:r>
        <w:rPr>
          <w:rFonts w:ascii="Times New Roman" w:hAnsi="Times New Roman" w:cs="Times New Roman" w:eastAsia="Times New Roman"/>
          <w:b/>
          <w:i w:val="0"/>
          <w:sz w:val="28"/>
        </w:rPr>
        <w:t>V. NHỮNG NỘI DUNG BỔ SUNG MỚI SO VỚI DỰ THẢO VĂN BẢN GỬI THẨM ĐỊNH</w:t>
      </w:r>
    </w:p>
    <w:p>
      <w:pPr>
        <w:spacing w:before="120" w:after="120" w:line="360" w:lineRule="exact"/>
        <w:ind w:firstLine="567"/>
        <w:jc w:val="both"/>
      </w:pPr>
      <w:r>
        <w:rPr>
          <w:rFonts w:ascii="Times New Roman" w:hAnsi="Times New Roman" w:cs="Times New Roman" w:eastAsia="Times New Roman"/>
          <w:b w:val="0"/>
          <w:i w:val="0"/>
          <w:sz w:val="28"/>
        </w:rPr>
        <w:t>[HOÀN THIỆN SAU khi có Báo cáo thẩm định.]</w:t>
      </w:r>
    </w:p>
    <w:p>
      <w:pPr>
        <w:keepNext/>
        <w:spacing w:before="120" w:after="120" w:line="360" w:lineRule="exact"/>
        <w:ind w:firstLine="567"/>
        <w:jc w:val="both"/>
      </w:pPr>
      <w:r>
        <w:rPr>
          <w:rFonts w:ascii="Times New Roman" w:hAnsi="Times New Roman" w:cs="Times New Roman" w:eastAsia="Times New Roman"/>
          <w:b/>
          <w:i w:val="0"/>
          <w:sz w:val="28"/>
        </w:rPr>
        <w:t>VI. DỰ KIẾN NGUỒN LỰC, ĐIỀU KIỆN BẢO ĐẢM CHO VIỆC THI HÀNH VĂN BẢN VÀ THỜI GIAN TRÌNH BAN HÀNH</w:t>
      </w:r>
    </w:p>
    <w:p>
      <w:pPr>
        <w:spacing w:before="120" w:after="120" w:line="360" w:lineRule="exact"/>
        <w:ind w:firstLine="567"/>
        <w:jc w:val="both"/>
      </w:pPr>
      <w:r>
        <w:rPr>
          <w:rFonts w:ascii="Times New Roman" w:hAnsi="Times New Roman" w:cs="Times New Roman" w:eastAsia="Times New Roman"/>
          <w:b w:val="0"/>
          <w:i w:val="0"/>
          <w:sz w:val="28"/>
        </w:rPr>
        <w:t>Việc thi hành Nghị định không làm phát sinh tổ chức bộ máy, biên chế. Kinh phí thực hiện được bố trí trong dự toán chi thường xuyên của các cơ quan theo phân cấp ngân sách nhà nước hiện hành. Việc tiếp nhận thông báo, công khai thông tin được thực hiện trên hệ thống thông tin điện tử sẵn có của cơ quan tiếp nhận.</w:t>
      </w:r>
    </w:p>
    <w:p>
      <w:pPr>
        <w:spacing w:before="120" w:after="120" w:line="360" w:lineRule="exact"/>
        <w:ind w:firstLine="567"/>
        <w:jc w:val="both"/>
      </w:pPr>
      <w:r>
        <w:rPr>
          <w:rFonts w:ascii="Times New Roman" w:hAnsi="Times New Roman" w:cs="Times New Roman" w:eastAsia="Times New Roman"/>
          <w:b w:val="0"/>
          <w:i w:val="0"/>
          <w:sz w:val="28"/>
        </w:rPr>
        <w:t>Bộ Văn hóa, Thể thao và Du lịch chịu trách nhiệm toàn diện đối với công tác xây dựng Nghị định sửa đổi, bổ sung một số điều của Nghị định số 144/2020/NĐ-CP. Hồ sơ dự thảo Nghị định trình Chính phủ trước ngày 30 tháng 11 năm 2026 theo Công văn số 9432/VPCP-KGVX; Nghị định có hiệu lực kể từ ngày ký ban hành, bảo đảm yêu cầu tại Nghị quyết số 18/2026/NQ-CP.</w:t>
      </w:r>
    </w:p>
    <w:p>
      <w:pPr>
        <w:spacing w:before="120" w:after="120" w:line="360" w:lineRule="exact"/>
        <w:ind w:firstLine="567"/>
        <w:jc w:val="both"/>
      </w:pPr>
      <w:r>
        <w:rPr>
          <w:rFonts w:ascii="Times New Roman" w:hAnsi="Times New Roman" w:cs="Times New Roman" w:eastAsia="Times New Roman"/>
          <w:b w:val="0"/>
          <w:i w:val="0"/>
          <w:sz w:val="28"/>
        </w:rPr>
        <w:t>Trên đây là Tờ trình về dự thảo Nghị định sửa đổi, bổ sung một số điều của Nghị định số 144/2020/NĐ-CP ngày 14 tháng 12 năm 2020 của Chính phủ quy định về hoạt động nghệ thuật biểu diễn, Bộ Văn hóa, Thể thao và Du lịch kính trình Chính phủ xem xét, quyết định./.</w:t>
      </w:r>
    </w:p>
    <w:p>
      <w:pPr>
        <w:keepNext/>
        <w:spacing w:before="120" w:after="120" w:line="360" w:lineRule="exact"/>
        <w:ind w:firstLine="567"/>
        <w:jc w:val="both"/>
      </w:pPr>
      <w:r>
        <w:rPr>
          <w:rFonts w:ascii="Times New Roman" w:hAnsi="Times New Roman" w:cs="Times New Roman" w:eastAsia="Times New Roman"/>
          <w:b w:val="0"/>
          <w:i/>
          <w:sz w:val="28"/>
        </w:rPr>
        <w:t>(Xin gửi kèm theo: Dự thảo Nghị định; Bản so sánh, thuyết minh nội dung dự thảo; Bản rà soát các chủ trương, đường lối của Đảng, văn bản quy phạm pháp luật, điều ước quốc tế có liên quan; Báo cáo thẩm định; Báo cáo tiếp thu, giải trình ý kiến thẩm định; Bản tổng hợp ý kiến, tiếp thu, giải trình ý kiến góp ý; Bản đánh giá thủ tục hành chính, việc phân cấp.)</w:t>
      </w:r>
    </w:p>
    <w:tbl>
      <w:tblPr>
        <w:tblW w:type="dxa" w:w="9072"/>
        <w:tblLook w:firstColumn="1" w:firstRow="1" w:lastColumn="0" w:lastRow="0" w:noHBand="0" w:noVBand="1" w:val="04A0"/>
        <w:tblBorders>
          <w:top w:val="none" w:sz="0"/>
          <w:left w:val="none" w:sz="0"/>
          <w:bottom w:val="none" w:sz="0"/>
          <w:right w:val="none" w:sz="0"/>
          <w:insideH w:val="none" w:sz="0"/>
          <w:insideV w:val="none" w:sz="0"/>
        </w:tblBorders>
        <w:tblLayout w:type="fixed"/>
        <w:tblCellMar>
          <w:top w:w="0" w:type="dxa"/>
          <w:left w:w="0" w:type="dxa"/>
          <w:bottom w:w="0" w:type="dxa"/>
          <w:right w:w="0" w:type="dxa"/>
        </w:tblCellMar>
      </w:tblPr>
      <w:tblGrid>
        <w:gridCol w:w="4904"/>
        <w:gridCol w:w="4168"/>
      </w:tblGrid>
      <w:tr>
        <w:trPr>
          <w:cantSplit/>
        </w:trPr>
        <w:tc>
          <w:tcPr>
            <w:tcW w:type="dxa" w:w="4904"/>
          </w:tcPr>
          <w:p>
            <w:pPr>
              <w:spacing w:before="120" w:after="0" w:line="240" w:lineRule="auto"/>
            </w:pPr>
            <w:r>
              <w:rPr>
                <w:rFonts w:ascii="Times New Roman" w:hAnsi="Times New Roman" w:cs="Times New Roman" w:eastAsia="Times New Roman"/>
                <w:b/>
                <w:i/>
                <w:sz w:val="24"/>
              </w:rPr>
              <w:t>Nơi nhận:</w:t>
            </w:r>
          </w:p>
          <w:p>
            <w:pPr>
              <w:spacing w:before="0" w:after="0" w:line="240" w:lineRule="auto"/>
            </w:pPr>
            <w:r>
              <w:rPr>
                <w:rFonts w:ascii="Times New Roman" w:hAnsi="Times New Roman" w:cs="Times New Roman" w:eastAsia="Times New Roman"/>
                <w:b w:val="0"/>
                <w:i w:val="0"/>
                <w:sz w:val="22"/>
              </w:rPr>
              <w:t>- Như trên;</w:t>
            </w:r>
          </w:p>
          <w:p>
            <w:pPr>
              <w:spacing w:before="0" w:after="0" w:line="240" w:lineRule="auto"/>
            </w:pPr>
            <w:r>
              <w:rPr>
                <w:rFonts w:ascii="Times New Roman" w:hAnsi="Times New Roman" w:cs="Times New Roman" w:eastAsia="Times New Roman"/>
                <w:b w:val="0"/>
                <w:i w:val="0"/>
                <w:sz w:val="22"/>
              </w:rPr>
              <w:t>- Thủ tướng Chính phủ (để báo cáo);</w:t>
            </w:r>
          </w:p>
          <w:p>
            <w:pPr>
              <w:spacing w:before="0" w:after="0" w:line="240" w:lineRule="auto"/>
            </w:pPr>
            <w:r>
              <w:rPr>
                <w:rFonts w:ascii="Times New Roman" w:hAnsi="Times New Roman" w:cs="Times New Roman" w:eastAsia="Times New Roman"/>
                <w:b w:val="0"/>
                <w:i w:val="0"/>
                <w:sz w:val="22"/>
              </w:rPr>
              <w:t>- Phó Thủ tướng Chính phủ Phạm Thị Thanh Trà (để báo cáo);</w:t>
            </w:r>
          </w:p>
          <w:p>
            <w:pPr>
              <w:spacing w:before="0" w:after="0" w:line="240" w:lineRule="auto"/>
            </w:pPr>
            <w:r>
              <w:rPr>
                <w:rFonts w:ascii="Times New Roman" w:hAnsi="Times New Roman" w:cs="Times New Roman" w:eastAsia="Times New Roman"/>
                <w:b w:val="0"/>
                <w:i w:val="0"/>
                <w:sz w:val="22"/>
              </w:rPr>
              <w:t>- Văn phòng Chính phủ;</w:t>
            </w:r>
          </w:p>
          <w:p>
            <w:pPr>
              <w:spacing w:before="0" w:after="0" w:line="240" w:lineRule="auto"/>
            </w:pPr>
            <w:r>
              <w:rPr>
                <w:rFonts w:ascii="Times New Roman" w:hAnsi="Times New Roman" w:cs="Times New Roman" w:eastAsia="Times New Roman"/>
                <w:b w:val="0"/>
                <w:i w:val="0"/>
                <w:sz w:val="22"/>
              </w:rPr>
              <w:t>- Bộ Tư pháp;</w:t>
            </w:r>
          </w:p>
          <w:p>
            <w:pPr>
              <w:spacing w:before="0" w:after="0" w:line="240" w:lineRule="auto"/>
            </w:pPr>
            <w:r>
              <w:rPr>
                <w:rFonts w:ascii="Times New Roman" w:hAnsi="Times New Roman" w:cs="Times New Roman" w:eastAsia="Times New Roman"/>
                <w:b w:val="0"/>
                <w:i w:val="0"/>
                <w:sz w:val="22"/>
              </w:rPr>
              <w:t>- Bộ trưởng (để báo cáo);</w:t>
            </w:r>
          </w:p>
          <w:p>
            <w:pPr>
              <w:spacing w:before="0" w:after="0" w:line="240" w:lineRule="auto"/>
            </w:pPr>
            <w:r>
              <w:rPr>
                <w:rFonts w:ascii="Times New Roman" w:hAnsi="Times New Roman" w:cs="Times New Roman" w:eastAsia="Times New Roman"/>
                <w:b w:val="0"/>
                <w:i w:val="0"/>
                <w:sz w:val="22"/>
              </w:rPr>
              <w:t>- Các Thứ trưởng;</w:t>
            </w:r>
          </w:p>
          <w:p>
            <w:pPr>
              <w:spacing w:before="0" w:after="0" w:line="240" w:lineRule="auto"/>
            </w:pPr>
            <w:r>
              <w:rPr>
                <w:rFonts w:ascii="Times New Roman" w:hAnsi="Times New Roman" w:cs="Times New Roman" w:eastAsia="Times New Roman"/>
                <w:b w:val="0"/>
                <w:i w:val="0"/>
                <w:sz w:val="22"/>
              </w:rPr>
              <w:t>- Bộ VHTTDL: Vụ Pháp chế; Văn phòng Bộ;</w:t>
            </w:r>
          </w:p>
          <w:p>
            <w:pPr>
              <w:spacing w:before="0" w:after="0" w:line="240" w:lineRule="auto"/>
            </w:pPr>
            <w:r>
              <w:rPr>
                <w:rFonts w:ascii="Times New Roman" w:hAnsi="Times New Roman" w:cs="Times New Roman" w:eastAsia="Times New Roman"/>
                <w:b w:val="0"/>
                <w:i w:val="0"/>
                <w:sz w:val="22"/>
              </w:rPr>
              <w:t>- Lưu: VT, NTBD (05).</w:t>
            </w:r>
          </w:p>
        </w:tc>
        <w:tc>
          <w:tcPr>
            <w:tcW w:type="dxa" w:w="4168"/>
          </w:tcPr>
          <w:p>
            <w:pPr>
              <w:spacing w:before="120" w:after="0" w:line="240" w:lineRule="auto"/>
              <w:jc w:val="center"/>
            </w:pPr>
            <w:r>
              <w:rPr>
                <w:rFonts w:ascii="Times New Roman" w:hAnsi="Times New Roman" w:cs="Times New Roman" w:eastAsia="Times New Roman"/>
                <w:b/>
                <w:i w:val="0"/>
                <w:sz w:val="28"/>
              </w:rPr>
              <w:t>KT. BỘ TRƯỞNG</w:t>
            </w:r>
          </w:p>
          <w:p>
            <w:pPr>
              <w:spacing w:before="0" w:after="0" w:line="240" w:lineRule="auto"/>
              <w:jc w:val="center"/>
            </w:pPr>
            <w:r>
              <w:rPr>
                <w:rFonts w:ascii="Times New Roman" w:hAnsi="Times New Roman" w:cs="Times New Roman" w:eastAsia="Times New Roman"/>
                <w:b/>
                <w:i w:val="0"/>
                <w:sz w:val="28"/>
              </w:rPr>
              <w:t>THỨ TRƯỞNG</w:t>
            </w:r>
          </w:p>
          <w:p>
            <w:pPr>
              <w:spacing w:before="0" w:after="0" w:line="240" w:lineRule="auto"/>
              <w:jc w:val="center"/>
            </w:pPr>
            <w:r>
              <w:rPr>
                <w:rFonts w:ascii="Times New Roman" w:hAnsi="Times New Roman" w:cs="Times New Roman" w:eastAsia="Times New Roman"/>
                <w:b/>
                <w:i w:val="0"/>
                <w:sz w:val="28"/>
              </w:rPr>
            </w:r>
          </w:p>
          <w:p>
            <w:pPr>
              <w:spacing w:before="0" w:after="0" w:line="240" w:lineRule="auto"/>
              <w:jc w:val="center"/>
            </w:pPr>
            <w:r>
              <w:rPr>
                <w:rFonts w:ascii="Times New Roman" w:hAnsi="Times New Roman" w:cs="Times New Roman" w:eastAsia="Times New Roman"/>
                <w:b/>
                <w:i w:val="0"/>
                <w:sz w:val="28"/>
              </w:rPr>
            </w:r>
          </w:p>
          <w:p>
            <w:pPr>
              <w:spacing w:before="0" w:after="0" w:line="240" w:lineRule="auto"/>
              <w:jc w:val="center"/>
            </w:pPr>
            <w:r>
              <w:rPr>
                <w:rFonts w:ascii="Times New Roman" w:hAnsi="Times New Roman" w:cs="Times New Roman" w:eastAsia="Times New Roman"/>
                <w:b/>
                <w:i w:val="0"/>
                <w:sz w:val="28"/>
              </w:rPr>
            </w:r>
          </w:p>
          <w:p>
            <w:pPr>
              <w:spacing w:before="0" w:after="0" w:line="240" w:lineRule="auto"/>
              <w:jc w:val="center"/>
            </w:pPr>
            <w:r>
              <w:rPr>
                <w:rFonts w:ascii="Times New Roman" w:hAnsi="Times New Roman" w:cs="Times New Roman" w:eastAsia="Times New Roman"/>
                <w:b/>
                <w:i w:val="0"/>
                <w:sz w:val="28"/>
              </w:rPr>
            </w:r>
          </w:p>
          <w:p>
            <w:pPr>
              <w:spacing w:before="0" w:after="0" w:line="240" w:lineRule="auto"/>
              <w:jc w:val="center"/>
            </w:pPr>
            <w:r>
              <w:rPr>
                <w:rFonts w:ascii="Times New Roman" w:hAnsi="Times New Roman" w:cs="Times New Roman" w:eastAsia="Times New Roman"/>
                <w:b/>
                <w:i w:val="0"/>
                <w:sz w:val="28"/>
              </w:rPr>
            </w:r>
          </w:p>
          <w:p>
            <w:pPr>
              <w:spacing w:before="0" w:after="0" w:line="240" w:lineRule="auto"/>
              <w:jc w:val="center"/>
            </w:pPr>
            <w:r>
              <w:rPr>
                <w:rFonts w:ascii="Times New Roman" w:hAnsi="Times New Roman" w:cs="Times New Roman" w:eastAsia="Times New Roman"/>
                <w:b/>
                <w:i w:val="0"/>
                <w:sz w:val="28"/>
              </w:rPr>
              <w:t>Tạ Quang Đông</w:t>
            </w:r>
          </w:p>
        </w:tc>
      </w:tr>
    </w:tbl>
    <w:sectPr w:rsidR="00FC693F" w:rsidRPr="0006063C" w:rsidSect="00034616">
      <w:headerReference w:type="default" r:id="rId9"/>
      <w:pgSz w:w="11906" w:h="16838"/>
      <w:pgMar w:top="1134" w:right="1134"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cs="Times New Roman" w:eastAsia="Times New Roman"/>
        <w:b w:val="0"/>
        <w:i w:val="0"/>
        <w:sz w:val="28"/>
      </w:rPr>
      <w:fldChar w:fldCharType="begin"/>
      <w:instrText xml:space="preserve">PAGE</w:instrText>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