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24"/>
        <w:tblInd w:w="-142" w:type="dxa"/>
        <w:tblLook w:firstColumn="1" w:firstRow="1" w:lastColumn="0" w:lastRow="0" w:noHBand="0" w:noVBand="1" w:val="04A0"/>
        <w:tblBorders>
          <w:top w:val="none" w:sz="0"/>
          <w:left w:val="none" w:sz="0"/>
          <w:bottom w:val="none" w:sz="0"/>
          <w:right w:val="none" w:sz="0"/>
          <w:insideH w:val="none" w:sz="0"/>
          <w:insideV w:val="none" w:sz="0"/>
        </w:tblBorders>
        <w:tblLayout w:type="fixed"/>
        <w:tblCellMar>
          <w:top w:w="0" w:type="dxa"/>
          <w:left w:w="0" w:type="dxa"/>
          <w:bottom w:w="0" w:type="dxa"/>
          <w:right w:w="0" w:type="dxa"/>
        </w:tblCellMar>
      </w:tblPr>
      <w:tblGrid>
        <w:gridCol w:w="4365"/>
        <w:gridCol w:w="5259"/>
      </w:tblGrid>
      <w:tr>
        <w:tc>
          <w:tcPr>
            <w:tcW w:type="dxa" w:w="4365"/>
          </w:tcPr>
          <w:p>
            <w:pPr>
              <w:spacing w:before="0" w:after="0" w:line="240" w:lineRule="auto"/>
              <w:jc w:val="center"/>
            </w:pPr>
            <w:r>
              <w:rPr>
                <w:rFonts w:ascii="Times New Roman" w:hAnsi="Times New Roman" w:cs="Times New Roman" w:eastAsia="Times New Roman"/>
                <w:b/>
                <w:i w:val="0"/>
                <w:spacing w:val="-18"/>
                <w:sz w:val="26"/>
              </w:rPr>
              <w:t>BỘ VĂN HÓA, THỂ THAO VÀ DU LỊCH</w:t>
            </w:r>
          </w:p>
          <w:p>
            <w:pPr>
              <w:spacing w:before="0" w:after="0" w:line="240" w:lineRule="auto"/>
              <w:ind w:left="1300" w:right="1300"/>
              <w:jc w:val="center"/>
              <w:pBdr>
                <w:bottom w:val="single" w:sz="6" w:space="1" w:color="000000"/>
              </w:pBdr>
            </w:pPr>
            <w:r>
              <w:rPr>
                <w:rFonts w:ascii="Times New Roman" w:hAnsi="Times New Roman" w:cs="Times New Roman" w:eastAsia="Times New Roman"/>
                <w:b w:val="0"/>
                <w:i w:val="0"/>
                <w:sz w:val="26"/>
              </w:rPr>
            </w:r>
          </w:p>
        </w:tc>
        <w:tc>
          <w:tcPr>
            <w:tcW w:type="dxa" w:w="5259"/>
          </w:tcPr>
          <w:p>
            <w:pPr>
              <w:spacing w:before="0" w:after="0" w:line="240" w:lineRule="auto"/>
              <w:jc w:val="center"/>
            </w:pPr>
            <w:r>
              <w:rPr>
                <w:rFonts w:ascii="Times New Roman" w:hAnsi="Times New Roman" w:cs="Times New Roman" w:eastAsia="Times New Roman"/>
                <w:b/>
                <w:i w:val="0"/>
                <w:spacing w:val="-18"/>
                <w:sz w:val="26"/>
              </w:rPr>
              <w:t>CỘNG HÒA XÃ HỘI CHỦ NGHĨA VIỆT NAM</w:t>
            </w:r>
          </w:p>
          <w:p>
            <w:pPr>
              <w:spacing w:before="0" w:after="0" w:line="240" w:lineRule="auto"/>
              <w:jc w:val="center"/>
            </w:pPr>
            <w:r>
              <w:rPr>
                <w:rFonts w:ascii="Times New Roman" w:hAnsi="Times New Roman" w:cs="Times New Roman" w:eastAsia="Times New Roman"/>
                <w:b/>
                <w:i w:val="0"/>
                <w:sz w:val="28"/>
              </w:rPr>
              <w:t>Độc lập - Tự do - Hạnh phúc</w:t>
            </w:r>
          </w:p>
          <w:p>
            <w:pPr>
              <w:spacing w:before="0" w:after="0" w:line="240" w:lineRule="auto"/>
              <w:ind w:left="870" w:right="870"/>
              <w:jc w:val="center"/>
              <w:pBdr>
                <w:bottom w:val="single" w:sz="6" w:space="1" w:color="000000"/>
              </w:pBdr>
            </w:pPr>
            <w:r>
              <w:rPr>
                <w:rFonts w:ascii="Times New Roman" w:hAnsi="Times New Roman" w:cs="Times New Roman" w:eastAsia="Times New Roman"/>
                <w:b w:val="0"/>
                <w:i w:val="0"/>
                <w:sz w:val="28"/>
              </w:rPr>
            </w:r>
          </w:p>
        </w:tc>
      </w:tr>
      <w:tr>
        <w:tc>
          <w:tcPr>
            <w:tcW w:type="dxa" w:w="4365"/>
          </w:tcPr>
          <w:p/>
        </w:tc>
        <w:tc>
          <w:tcPr>
            <w:tcW w:type="dxa" w:w="5259"/>
          </w:tcPr>
          <w:p>
            <w:pPr>
              <w:spacing w:before="200" w:after="0" w:line="240" w:lineRule="auto"/>
              <w:jc w:val="center"/>
            </w:pPr>
            <w:r>
              <w:rPr>
                <w:rFonts w:ascii="Times New Roman" w:hAnsi="Times New Roman" w:cs="Times New Roman" w:eastAsia="Times New Roman"/>
                <w:b w:val="0"/>
                <w:i/>
                <w:sz w:val="28"/>
              </w:rPr>
              <w:t>Hà Nội, ngày            tháng            năm 2026</w:t>
            </w:r>
          </w:p>
        </w:tc>
      </w:tr>
    </w:tbl>
    <w:p>
      <w:pPr>
        <w:keepNext/>
        <w:spacing w:before="360" w:after="0" w:line="240" w:lineRule="auto"/>
        <w:jc w:val="center"/>
      </w:pPr>
      <w:r>
        <w:rPr>
          <w:rFonts w:ascii="Times New Roman" w:hAnsi="Times New Roman" w:cs="Times New Roman" w:eastAsia="Times New Roman"/>
          <w:b/>
          <w:i w:val="0"/>
          <w:sz w:val="28"/>
        </w:rPr>
        <w:t>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ĐỊNH SỬA ĐỔI, BỔ SUNG MỘT SỐ ĐIỀU CỦA NGHỊ ĐỊNH SỐ 144/2020/NĐ-CP NGÀY 14 THÁNG 12 NĂM 2020 CỦA CHÍNH PHỦ QUY ĐỊNH VỀ HOẠT ĐỘNG NGHỆ THUẬT BIỂU DIỄN</w:t>
      </w:r>
    </w:p>
    <w:p>
      <w:pPr>
        <w:spacing w:before="60" w:after="0" w:line="240" w:lineRule="auto"/>
        <w:jc w:val="center"/>
      </w:pPr>
      <w:r>
        <w:rPr>
          <w:rFonts w:ascii="Times New Roman" w:hAnsi="Times New Roman" w:cs="Times New Roman" w:eastAsia="Times New Roman"/>
          <w:b w:val="0"/>
          <w:i/>
          <w:sz w:val="28"/>
        </w:rPr>
        <w:t>(Kèm theo Tờ trình số                  /TTr-BVHTTDL ngày            tháng            năm 2026 của Bộ Văn hóa, Thể thao và Du lịch)</w:t>
      </w:r>
    </w:p>
    <w:p>
      <w:pPr>
        <w:spacing w:before="0" w:after="240" w:line="240" w:lineRule="auto"/>
        <w:ind w:left="3402" w:right="3402"/>
        <w:jc w:val="center"/>
        <w:pBdr>
          <w:bottom w:val="single" w:sz="6" w:space="1" w:color="000000"/>
        </w:pBdr>
      </w:pPr>
      <w:r>
        <w:rPr>
          <w:rFonts w:ascii="Times New Roman" w:hAnsi="Times New Roman" w:cs="Times New Roman" w:eastAsia="Times New Roman"/>
          <w:b w:val="0"/>
          <w:i w:val="0"/>
          <w:sz w:val="28"/>
        </w:rPr>
      </w:r>
    </w:p>
    <w:p>
      <w:pPr>
        <w:spacing w:before="120" w:after="120" w:line="360" w:lineRule="exact"/>
        <w:ind w:firstLine="567"/>
        <w:jc w:val="both"/>
      </w:pPr>
      <w:r>
        <w:rPr>
          <w:rFonts w:ascii="Times New Roman" w:hAnsi="Times New Roman" w:cs="Times New Roman" w:eastAsia="Times New Roman"/>
          <w:b w:val="0"/>
          <w:i w:val="0"/>
          <w:sz w:val="28"/>
        </w:rPr>
        <w:t>Thực hiện quy định của Luật Ban hành văn bản quy phạm pháp luật, Bộ Văn hóa, Thể thao và Du lịch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định sửa đổi, bổ sung một số điều của Nghị định số 144/2020/NĐ-CP ngày 14 tháng 12 năm 2020 của Chính phủ quy định về hoạt động nghệ thuật biểu diễn (sau đây gọi là dự thảo Nghị định). Kết quả như sau:</w:t>
      </w:r>
    </w:p>
    <w:p>
      <w:pPr>
        <w:keepNext/>
        <w:spacing w:before="120" w:after="120" w:line="360" w:lineRule="exact"/>
        <w:ind w:firstLine="567"/>
        <w:jc w:val="both"/>
      </w:pPr>
      <w:r>
        <w:rPr>
          <w:rFonts w:ascii="Times New Roman" w:hAnsi="Times New Roman" w:cs="Times New Roman" w:eastAsia="Times New Roman"/>
          <w:b/>
          <w:i w:val="0"/>
          <w:sz w:val="28"/>
        </w:rPr>
        <w:t>I. TỔ CHỨC THỰC HIỆN ĐÁNH GIÁ</w:t>
      </w:r>
    </w:p>
    <w:p>
      <w:pPr>
        <w:keepNext/>
        <w:spacing w:before="120" w:after="120" w:line="360" w:lineRule="exact"/>
        <w:ind w:firstLine="567"/>
        <w:jc w:val="both"/>
      </w:pPr>
      <w:r>
        <w:rPr>
          <w:rFonts w:ascii="Times New Roman" w:hAnsi="Times New Roman" w:cs="Times New Roman" w:eastAsia="Times New Roman"/>
          <w:b/>
          <w:i w:val="0"/>
          <w:sz w:val="28"/>
        </w:rPr>
        <w:t>1. Bối cảnh xây dựng dự thảo</w:t>
      </w:r>
    </w:p>
    <w:p>
      <w:pPr>
        <w:spacing w:before="120" w:after="120" w:line="360" w:lineRule="exact"/>
        <w:ind w:firstLine="567"/>
        <w:jc w:val="both"/>
      </w:pPr>
      <w:r>
        <w:rPr>
          <w:rFonts w:ascii="Times New Roman" w:hAnsi="Times New Roman" w:cs="Times New Roman" w:eastAsia="Times New Roman"/>
          <w:b w:val="0"/>
          <w:i w:val="0"/>
          <w:sz w:val="28"/>
        </w:rPr>
        <w:t>Nghị quyết số 18/2026/NQ-CP ngày 29 tháng 4 năm 2026 và Nghị quyết số 66.18/2026/NQ-CP ngày 18 tháng 5 năm 2026 của Chính phủ đã cắt giảm các điều kiện đầu tư kinh doanh quy định tại khoản 1 Điều 10, khoản 1 Điều 13, khoản 1 Điều 16, Điều 19 và Điều 22 Nghị định số 144/2020/NĐ-CP. Kể từ ngày 01 tháng 7 năm 2026, các điều kiện này chấm dứt hiệu lực áp dụng. Thủ tục cấp văn bản chấp thuận tại các Điều 10, 13 và 16 là hình thức áp dụng điều kiện đầu tư kinh doanh theo khoản 5 Điều 7 Luật Đầu tư số 143/2025/QH15, nên bãi bỏ điều kiện kéo theo bãi bỏ thủ tục. Ngày 16 tháng 9 năm 2026, Văn phòng Chính phủ có Công văn số 9432/VPCP-KGVX truyền đạt ý kiến của Phó Thủ tướng Chính phủ Phạm Thị Thanh Trà đồng ý áp dụng trình tự, thủ tục rút gọn.</w:t>
      </w:r>
    </w:p>
    <w:p>
      <w:pPr>
        <w:keepNext/>
        <w:spacing w:before="120" w:after="120" w:line="360" w:lineRule="exact"/>
        <w:ind w:firstLine="567"/>
        <w:jc w:val="both"/>
      </w:pPr>
      <w:r>
        <w:rPr>
          <w:rFonts w:ascii="Times New Roman" w:hAnsi="Times New Roman" w:cs="Times New Roman" w:eastAsia="Times New Roman"/>
          <w:b/>
          <w:i w:val="0"/>
          <w:sz w:val="28"/>
        </w:rPr>
        <w:t>2. Mục đích, yêu cầu đánh giá</w:t>
      </w:r>
    </w:p>
    <w:p>
      <w:pPr>
        <w:spacing w:before="120" w:after="120" w:line="360" w:lineRule="exact"/>
        <w:ind w:firstLine="567"/>
        <w:jc w:val="both"/>
      </w:pPr>
      <w:r>
        <w:rPr>
          <w:rFonts w:ascii="Times New Roman" w:hAnsi="Times New Roman" w:cs="Times New Roman" w:eastAsia="Times New Roman"/>
          <w:b w:val="0"/>
          <w:i w:val="0"/>
          <w:sz w:val="28"/>
        </w:rPr>
        <w:t>Việc đánh giá nhằm xác định đầy đủ các thủ tục hành chính bị bãi bỏ, làm rõ bản chất pháp lý của các nghĩa vụ còn lại, và bảo đảm việc phân cấp có đủ điều kiện thực hiện cùng cơ chế kiểm tra, giám sát theo Điều 13 Luật Tổ chức chính quyền địa phương số 72/2025/QH15.</w:t>
      </w:r>
    </w:p>
    <w:p>
      <w:pPr>
        <w:keepNext/>
        <w:spacing w:before="120" w:after="120" w:line="360" w:lineRule="exact"/>
        <w:ind w:firstLine="567"/>
        <w:jc w:val="both"/>
      </w:pPr>
      <w:r>
        <w:rPr>
          <w:rFonts w:ascii="Times New Roman" w:hAnsi="Times New Roman" w:cs="Times New Roman" w:eastAsia="Times New Roman"/>
          <w:b/>
          <w:i w:val="0"/>
          <w:sz w:val="28"/>
        </w:rPr>
        <w:t>II. KẾT QUẢ ĐÁNH GIÁ</w:t>
      </w:r>
    </w:p>
    <w:p>
      <w:pPr>
        <w:keepNext/>
        <w:spacing w:before="120" w:after="120" w:line="360" w:lineRule="exact"/>
        <w:ind w:firstLine="567"/>
        <w:jc w:val="both"/>
      </w:pPr>
      <w:r>
        <w:rPr>
          <w:rFonts w:ascii="Times New Roman" w:hAnsi="Times New Roman" w:cs="Times New Roman" w:eastAsia="Times New Roman"/>
          <w:b/>
          <w:i w:val="0"/>
          <w:sz w:val="28"/>
        </w:rPr>
        <w:t>1. Thủ tục hành chính</w:t>
      </w:r>
    </w:p>
    <w:p>
      <w:pPr>
        <w:spacing w:before="120" w:after="120" w:line="360" w:lineRule="exact"/>
        <w:ind w:firstLine="567"/>
        <w:jc w:val="both"/>
      </w:pPr>
      <w:r>
        <w:rPr>
          <w:rFonts w:ascii="Times New Roman" w:hAnsi="Times New Roman" w:cs="Times New Roman" w:eastAsia="Times New Roman"/>
          <w:b/>
          <w:i w:val="0"/>
          <w:sz w:val="28"/>
        </w:rPr>
        <w:t>a) Thủ tục hành chính bị bãi bỏ.</w:t>
      </w:r>
      <w:r>
        <w:rPr>
          <w:rFonts w:ascii="Times New Roman" w:hAnsi="Times New Roman" w:cs="Times New Roman" w:eastAsia="Times New Roman"/>
          <w:b w:val="0"/>
          <w:i w:val="0"/>
          <w:sz w:val="28"/>
        </w:rPr>
        <w:t xml:space="preserve"> Dự thảo Nghị định bãi bỏ 04 thủ tục hành chính quy định tại Nghị định số 144/2020/NĐ-CP. Một là, thủ tục cấp văn bản chấp thuận tổ chức biểu diễn nghệ thuật tại Điều 10; hai là, thủ tục cấp văn bản chấp thuận tổ chức cuộc thi, liên hoan các loại hình nghệ thuật biểu diễn tại Điều 13; ba là, thủ tục cấp văn bản chấp thuận tổ chức cuộc thi người đẹp, người mẫu tại Điều 16; bốn là, thủ tục cấp văn bản xác nhận dự thi người đẹp, người mẫu ở nước ngoài tại Điều 20. Cùng với đó, dự thảo bãi bỏ 10 mẫu văn bản kèm theo các thủ tục này, từ Mẫu số 02 đến Mẫu số 11.</w:t>
      </w:r>
    </w:p>
    <w:p>
      <w:pPr>
        <w:spacing w:before="120" w:after="120" w:line="360" w:lineRule="exact"/>
        <w:ind w:firstLine="567"/>
        <w:jc w:val="both"/>
      </w:pPr>
      <w:r>
        <w:rPr>
          <w:rFonts w:ascii="Times New Roman" w:hAnsi="Times New Roman" w:cs="Times New Roman" w:eastAsia="Times New Roman"/>
          <w:b w:val="0"/>
          <w:i w:val="0"/>
          <w:sz w:val="28"/>
        </w:rPr>
        <w:t>Mã số của 04 thủ tục hành chính trên Cơ sở dữ liệu quốc gia về thủ tục hành chính: [HOÀN THIỆN SAU].</w:t>
      </w:r>
    </w:p>
    <w:p>
      <w:pPr>
        <w:spacing w:before="120" w:after="120" w:line="360" w:lineRule="exact"/>
        <w:ind w:firstLine="567"/>
        <w:jc w:val="both"/>
      </w:pPr>
      <w:r>
        <w:rPr>
          <w:rFonts w:ascii="Times New Roman" w:hAnsi="Times New Roman" w:cs="Times New Roman" w:eastAsia="Times New Roman"/>
          <w:b/>
          <w:i w:val="0"/>
          <w:sz w:val="28"/>
        </w:rPr>
        <w:t>b) Thủ tục hành chính ban hành mới, sửa đổi, bổ sung, giữ nguyên.</w:t>
      </w:r>
      <w:r>
        <w:rPr>
          <w:rFonts w:ascii="Times New Roman" w:hAnsi="Times New Roman" w:cs="Times New Roman" w:eastAsia="Times New Roman"/>
          <w:b w:val="0"/>
          <w:i w:val="0"/>
          <w:sz w:val="28"/>
        </w:rPr>
        <w:t xml:space="preserve"> Không có. Dự thảo Nghị định không quy định thủ tục hành chính.</w:t>
      </w:r>
    </w:p>
    <w:p>
      <w:pPr>
        <w:spacing w:before="120" w:after="120" w:line="360" w:lineRule="exact"/>
        <w:ind w:firstLine="567"/>
        <w:jc w:val="both"/>
      </w:pPr>
      <w:r>
        <w:rPr>
          <w:rFonts w:ascii="Times New Roman" w:hAnsi="Times New Roman" w:cs="Times New Roman" w:eastAsia="Times New Roman"/>
          <w:b w:val="0"/>
          <w:i w:val="0"/>
          <w:sz w:val="28"/>
        </w:rPr>
        <w:t>Hai quy định của Nghị định số 144/2020/NĐ-CP có yếu tố đề nghị, giải quyết và trả kết quả đã được dự thảo thiết kế lại để không còn các yếu tố ấy. Một là, việc cơ quan xem xét, quyết định phương án tiếp tục tổ chức sau khi bị yêu cầu dừng trong 02 ngày làm việc tại khoản 4 và khoản 5 Điều 17. Dự thảo thay bằng cơ chế tổ chức, cá nhân khắc phục theo nội dung nêu trong văn bản yêu cầu dừng rồi thông báo trước khi tiếp tục, và cơ quan chủ động chấm dứt yêu cầu dừng khi lý do dừng không còn; hai là, việc xác nhận bằng văn bản theo yêu cầu. Dự thảo thay bằng nghĩa vụ đương nhiên của cơ quan tiếp nhận ghi thời điểm tiếp nhận trên thông báo và gửi lại ngay khi tiếp nhận.</w:t>
      </w:r>
    </w:p>
    <w:p>
      <w:pPr>
        <w:spacing w:before="120" w:after="120" w:line="360" w:lineRule="exact"/>
        <w:ind w:firstLine="567"/>
        <w:jc w:val="both"/>
      </w:pPr>
      <w:r>
        <w:rPr>
          <w:rFonts w:ascii="Times New Roman" w:hAnsi="Times New Roman" w:cs="Times New Roman" w:eastAsia="Times New Roman"/>
          <w:b/>
          <w:i w:val="0"/>
          <w:sz w:val="28"/>
        </w:rPr>
        <w:t>c) Bản chất pháp lý của nghĩa vụ thông báo và nghĩa vụ nộp lưu chiểu.</w:t>
      </w:r>
      <w:r>
        <w:rPr>
          <w:rFonts w:ascii="Times New Roman" w:hAnsi="Times New Roman" w:cs="Times New Roman" w:eastAsia="Times New Roman"/>
          <w:b w:val="0"/>
          <w:i w:val="0"/>
          <w:sz w:val="28"/>
        </w:rPr>
        <w:t xml:space="preserve"> Khoản 1 Điều 3 Nghị định số 63/2010/NĐ-CP ngày 08 tháng 6 năm 2010 của Chính phủ về kiểm soát thủ tục hành chính xác định thủ tục hành chính là trình tự, cách thức thực hiện, hồ sơ và yêu cầu, điều kiện do cơ quan nhà nước, người có thẩm quyền quy định "để giải quyết một công việc cụ thể" liên quan đến cá nhân, tổ chức. Yếu tố quyết định là có việc giải quyết của cơ quan nhà nước và có kết quả giải quyết.</w:t>
      </w:r>
    </w:p>
    <w:p>
      <w:pPr>
        <w:spacing w:before="120" w:after="120" w:line="360" w:lineRule="exact"/>
        <w:ind w:firstLine="567"/>
        <w:jc w:val="both"/>
      </w:pPr>
      <w:r>
        <w:rPr>
          <w:rFonts w:ascii="Times New Roman" w:hAnsi="Times New Roman" w:cs="Times New Roman" w:eastAsia="Times New Roman"/>
          <w:b w:val="0"/>
          <w:i w:val="0"/>
          <w:sz w:val="28"/>
        </w:rPr>
        <w:t>Đối chiếu với tiêu chí ấy, nghĩa vụ thông báo tại các Điều 9, 12 và 15 dự thảo Nghị định không phải thủ tục hành chính. Thứ nhất, tổ chức, cá nhân đã thông báo đúng, đủ và đúng thời hạn thì được tổ chức hoạt động, không chờ một quyết định cho phép nào. Thứ hai, cơ quan tiếp nhận thông báo không xem xét để cho phép hay không cho phép. Trách nhiệm của cơ quan ấy là công khai, rà soát, theo dõi, kiểm tra và yêu cầu dừng khi phát hiện vi phạm theo Điều 17, tức là trách nhiệm quản lý nhà nước ở khâu sau. Thứ ba, việc cơ quan tiếp nhận yêu cầu bổ sung một lần tại điểm d khoản 3 các Điều 9, 12 và 15 không làm phát sinh một quyết định giải quyết. Thông báo chưa đủ tài liệu vẫn được công khai theo thời điểm tiếp nhận tại điểm a khoản 4 Điều 9. Hệ quả của việc không bổ sung là một căn cứ yêu cầu dừng tại điểm d khoản 1 Điều 17, không phải việc từ chối tiếp nhận.</w:t>
      </w:r>
    </w:p>
    <w:p>
      <w:pPr>
        <w:spacing w:before="120" w:after="120" w:line="360" w:lineRule="exact"/>
        <w:ind w:firstLine="567"/>
        <w:jc w:val="both"/>
      </w:pPr>
      <w:r>
        <w:rPr>
          <w:rFonts w:ascii="Times New Roman" w:hAnsi="Times New Roman" w:cs="Times New Roman" w:eastAsia="Times New Roman"/>
          <w:b w:val="0"/>
          <w:i w:val="0"/>
          <w:sz w:val="28"/>
        </w:rPr>
        <w:t>Điểm b khoản 4 Điều 9, điểm b khoản 5 Điều 12 và điểm b khoản 6 Điều 15 quy định cơ quan tiếp nhận ghi thời điểm tiếp nhận trên thông báo và gửi lại cho tổ chức, cá nhân ngay khi tiếp nhận. Đây là nghĩa vụ đương nhiên của cơ quan đối với mọi thông báo, không phát sinh theo đề nghị và không có thời hạn giải quyết. Thông báo có ghi thời điểm tiếp nhận chỉ có giá trị chứng minh việc đã thông báo, nội dung và thời điểm thông báo, không phải là văn bản cho phép.</w:t>
      </w:r>
    </w:p>
    <w:p>
      <w:pPr>
        <w:spacing w:before="120" w:after="120" w:line="360" w:lineRule="exact"/>
        <w:ind w:firstLine="567"/>
        <w:jc w:val="both"/>
      </w:pPr>
      <w:r>
        <w:rPr>
          <w:rFonts w:ascii="Times New Roman" w:hAnsi="Times New Roman" w:cs="Times New Roman" w:eastAsia="Times New Roman"/>
          <w:b w:val="0"/>
          <w:i w:val="0"/>
          <w:sz w:val="28"/>
        </w:rPr>
        <w:t>Việc cơ quan chuyển thông báo gửi không đúng thẩm quyền tại điểm c khoản 3 và yêu cầu bổ sung một lần tại điểm d khoản 3 các Điều 9, 12 và 15 là nghĩa vụ của cơ quan nhà nước, không phát sinh theo đề nghị của tổ chức, cá nhân. Nội dung đề án gửi kèm thông báo tại khoản 4 Điều 12 và khoản 4 Điều 15 là tài liệu của chính nghĩa vụ thông báo.</w:t>
      </w:r>
    </w:p>
    <w:p>
      <w:pPr>
        <w:spacing w:before="120" w:after="120" w:line="360" w:lineRule="exact"/>
        <w:ind w:firstLine="567"/>
        <w:jc w:val="both"/>
      </w:pPr>
      <w:r>
        <w:rPr>
          <w:rFonts w:ascii="Times New Roman" w:hAnsi="Times New Roman" w:cs="Times New Roman" w:eastAsia="Times New Roman"/>
          <w:b w:val="0"/>
          <w:i w:val="0"/>
          <w:sz w:val="28"/>
        </w:rPr>
        <w:t>Khoản 3 Điều 2 dự thảo quy định dừng giải quyết hồ sơ đề nghị chấp thuận đang xử lý và hoàn trả hồ sơ nếu tổ chức, cá nhân có yêu cầu. Đây là quy định chuyển tiếp để chấm dứt các thủ tục hành chính bị bãi bỏ, cùng cách xử lý với khoản 2 Điều 6 Nghị quyết số 18/2026/NQ-CP và khoản 2 Điều 6 Nghị quyết số 66.18/2026/NQ-CP. Việc hoàn trả hồ sơ không kèm theo quyết định giải quyết nên không phải thủ tục hành chính.</w:t>
      </w:r>
    </w:p>
    <w:p>
      <w:pPr>
        <w:spacing w:before="120" w:after="120" w:line="360" w:lineRule="exact"/>
        <w:ind w:firstLine="567"/>
        <w:jc w:val="both"/>
      </w:pPr>
      <w:r>
        <w:rPr>
          <w:rFonts w:ascii="Times New Roman" w:hAnsi="Times New Roman" w:cs="Times New Roman" w:eastAsia="Times New Roman"/>
          <w:b w:val="0"/>
          <w:i w:val="0"/>
          <w:sz w:val="28"/>
        </w:rPr>
        <w:t>Nghĩa vụ nộp lưu chiểu tại Điều 23 dự thảo Nghị định cũng không phải thủ tục hành chính, theo cùng tiêu chí. Việc nộp lưu chiểu không kèm theo quyết định giải quyết của cơ quan nhà nước. Thời điểm nộp lưu chiểu là thời điểm cơ quan nhà nước có thẩm quyền tiếp nhận, và việc lưu hành không phụ thuộc vào một văn bản trả lời nào. Trách nhiệm của cơ quan nhận lưu chiểu tại Điều 24 Nghị định số 144/2020/NĐ-CP, được giữ nguyên, là kiểm tra, đối chiếu, quyết định đình chỉ lưu hành, buộc tiêu hủy khi phát hiện vi phạm và tổ chức kho lưu giữ, tức là trách nhiệm hậu kiểm.</w:t>
      </w:r>
    </w:p>
    <w:p>
      <w:pPr>
        <w:spacing w:before="120" w:after="120" w:line="360" w:lineRule="exact"/>
        <w:ind w:firstLine="567"/>
        <w:jc w:val="both"/>
      </w:pPr>
      <w:r>
        <w:rPr>
          <w:rFonts w:ascii="Times New Roman" w:hAnsi="Times New Roman" w:cs="Times New Roman" w:eastAsia="Times New Roman"/>
          <w:b w:val="0"/>
          <w:i w:val="0"/>
          <w:sz w:val="28"/>
        </w:rPr>
        <w:t>Bên cạnh đó, cần nêu rõ rằng các nghĩa vụ thông báo và nộp lưu chiểu theo Nghị định số 144/2020/NĐ-CP hiện đang được công bố trên Cổng Dịch vụ công quốc gia dưới dạng thủ tục hành chính, trong đó có thủ tục mang mã 1.003484 [HOÀN THIỆN SAU: mã số các thủ tục cùng nhóm, gồm thông báo tại Điều 12, Điều 15 và nộp lưu chiểu tại Điều 23]. Sau khi Nghị định được ban hành, Bộ Văn hóa, Thể thao và Du lịch công bố bãi bỏ các thủ tục này trên Cơ sở dữ liệu quốc gia về thủ tục hành chính, đồng thời hướng dẫn địa phương tiếp nhận thông báo, lưu chiểu qua hệ thống thông tin điện tử của cơ quan tiếp nhận.</w:t>
      </w:r>
    </w:p>
    <w:p>
      <w:pPr>
        <w:spacing w:before="120" w:after="120" w:line="360" w:lineRule="exact"/>
        <w:ind w:firstLine="567"/>
        <w:jc w:val="both"/>
      </w:pPr>
      <w:r>
        <w:rPr>
          <w:rFonts w:ascii="Times New Roman" w:hAnsi="Times New Roman" w:cs="Times New Roman" w:eastAsia="Times New Roman"/>
          <w:b/>
          <w:i w:val="0"/>
          <w:sz w:val="28"/>
        </w:rPr>
        <w:t>d) Chi phí tuân thủ.</w:t>
      </w:r>
      <w:r>
        <w:rPr>
          <w:rFonts w:ascii="Times New Roman" w:hAnsi="Times New Roman" w:cs="Times New Roman" w:eastAsia="Times New Roman"/>
          <w:b w:val="0"/>
          <w:i w:val="0"/>
          <w:sz w:val="28"/>
        </w:rPr>
        <w:t xml:space="preserve"> Do dự thảo không quy định thủ tục hành chính, bản đánh giá không kèm Biểu mẫu tính chi phí tuân thủ thủ tục hành chính. Tác động của nghĩa vụ thông báo đối với tổ chức, cá nhân được thuyết minh tại bản so sánh, thuyết minh nội dung dự thảo.</w:t>
      </w:r>
    </w:p>
    <w:p>
      <w:pPr>
        <w:keepNext/>
        <w:spacing w:before="120" w:after="120" w:line="360" w:lineRule="exact"/>
        <w:ind w:firstLine="567"/>
        <w:jc w:val="both"/>
      </w:pPr>
      <w:r>
        <w:rPr>
          <w:rFonts w:ascii="Times New Roman" w:hAnsi="Times New Roman" w:cs="Times New Roman" w:eastAsia="Times New Roman"/>
          <w:b/>
          <w:i w:val="0"/>
          <w:sz w:val="28"/>
        </w:rPr>
        <w:t>2. Việc phân quyền, phân cấp</w:t>
      </w:r>
    </w:p>
    <w:p>
      <w:pPr>
        <w:spacing w:before="120" w:after="120" w:line="360" w:lineRule="exact"/>
        <w:ind w:firstLine="567"/>
        <w:jc w:val="both"/>
      </w:pPr>
      <w:r>
        <w:rPr>
          <w:rFonts w:ascii="Times New Roman" w:hAnsi="Times New Roman" w:cs="Times New Roman" w:eastAsia="Times New Roman"/>
          <w:b/>
          <w:i w:val="0"/>
          <w:sz w:val="28"/>
        </w:rPr>
        <w:t>a) Hình thức.</w:t>
      </w:r>
      <w:r>
        <w:rPr>
          <w:rFonts w:ascii="Times New Roman" w:hAnsi="Times New Roman" w:cs="Times New Roman" w:eastAsia="Times New Roman"/>
          <w:b w:val="0"/>
          <w:i w:val="0"/>
          <w:sz w:val="28"/>
        </w:rPr>
        <w:t xml:space="preserve"> Dự thảo Nghị định không phân quyền, vì khoản 1 Điều 12 Luật số 72/2025/QH15 quy định việc phân quyền phải được quy định trong luật, nghị quyết của Quốc hội. Nội dung giao thẩm quyền cho chính quyền địa phương trong dự thảo là phân cấp theo Điều 13 Luật số 72/2025/QH15.</w:t>
      </w:r>
    </w:p>
    <w:p>
      <w:pPr>
        <w:spacing w:before="120" w:after="120" w:line="360" w:lineRule="exact"/>
        <w:ind w:firstLine="567"/>
        <w:jc w:val="both"/>
      </w:pPr>
      <w:r>
        <w:rPr>
          <w:rFonts w:ascii="Times New Roman" w:hAnsi="Times New Roman" w:cs="Times New Roman" w:eastAsia="Times New Roman"/>
          <w:b/>
          <w:i w:val="0"/>
          <w:sz w:val="28"/>
        </w:rPr>
        <w:t>b) Nội dung phân cấp.</w:t>
      </w:r>
      <w:r>
        <w:rPr>
          <w:rFonts w:ascii="Times New Roman" w:hAnsi="Times New Roman" w:cs="Times New Roman" w:eastAsia="Times New Roman"/>
          <w:b w:val="0"/>
          <w:i w:val="0"/>
          <w:sz w:val="28"/>
        </w:rPr>
        <w:t xml:space="preserve"> Gồm hai nhóm.</w:t>
      </w:r>
    </w:p>
    <w:p>
      <w:pPr>
        <w:spacing w:before="120" w:after="120" w:line="360" w:lineRule="exact"/>
        <w:ind w:firstLine="567"/>
        <w:jc w:val="both"/>
      </w:pPr>
      <w:r>
        <w:rPr>
          <w:rFonts w:ascii="Times New Roman" w:hAnsi="Times New Roman" w:cs="Times New Roman" w:eastAsia="Times New Roman"/>
          <w:b w:val="0"/>
          <w:i w:val="0"/>
          <w:sz w:val="28"/>
        </w:rPr>
        <w:t>Nhóm thứ nhất, phân cấp từ Bộ Văn hóa, Thể thao và Du lịch cho Ủy ban nhân dân cấp tỉnh, thể chế hóa việc phân cấp Chính phủ đã quyết định tại mục II và mục III Phụ lục I Nghị quyết số 18/2026/NQ-CP, có hiệu lực từ ngày 01 tháng 6 năm 2026 đến hết ngày 01 tháng 3 năm 2027 theo khoản 2 Điều 5 Nghị quyết ấy. Một là, hoạt động tổ chức biểu diễn nghệ thuật trong khuôn khổ hợp tác quốc tế của các hội chuyên ngành về nghệ thuật biểu diễn thuộc Trung ương, đơn vị sự nghiệp công lập có chức năng biểu diễn nghệ thuật thuộc Trung ương, trước đây do Bộ chấp thuận theo điểm a khoản 2 Điều 10, nay thuộc thẩm quyền tiếp nhận thông báo của Ủy ban nhân dân cấp tỉnh nơi tổ chức theo điểm a khoản 2 Điều 9 dự thảo; hai là, cuộc thi, liên hoan toàn quốc và quốc tế của các chủ thể nêu trên, trước đây do Bộ chấp thuận theo điểm a khoản 2 Điều 13, nay thuộc thẩm quyền tiếp nhận thông báo của Ủy ban nhân dân cấp tỉnh theo điểm a khoản 2 Điều 12 dự thảo; ba là, việc tiếp nhận lưu chiểu bản ghi âm, ghi hình của tổ chức thuộc cơ quan Trung ương, trước đây nộp đến Bộ theo điểm a khoản 1 Điều 23, nay nộp đến Ủy ban nhân dân cấp tỉnh nơi tổ chức đặt trụ sở chính theo khoản 2 Điều 23 dự thảo.</w:t>
      </w:r>
    </w:p>
    <w:p>
      <w:pPr>
        <w:spacing w:before="120" w:after="120" w:line="360" w:lineRule="exact"/>
        <w:ind w:firstLine="567"/>
        <w:jc w:val="both"/>
      </w:pPr>
      <w:r>
        <w:rPr>
          <w:rFonts w:ascii="Times New Roman" w:hAnsi="Times New Roman" w:cs="Times New Roman" w:eastAsia="Times New Roman"/>
          <w:b w:val="0"/>
          <w:i w:val="0"/>
          <w:sz w:val="28"/>
        </w:rPr>
        <w:t>Nhóm thứ hai, kế thừa phân định thẩm quyền theo mô hình chính quyền địa phương 02 cấp. Thẩm quyền tiếp nhận thông báo của Ủy ban nhân dân cấp huyện tại các Điều 9, 12 và 15 hiện hành được quy định lại là thẩm quyền của Ủy ban nhân dân cấp xã, thay cho Điều 7 Nghị định số 137/2025/NĐ-CP ngày 12 tháng 6 năm 2025 của Chính phủ. Nhóm này không làm phát sinh nhiệm vụ mới cho cấp xã so với hiện hành, trừ các trách nhiệm của cơ quan tiếp nhận thông báo nêu tại điểm c dưới đây.</w:t>
      </w:r>
    </w:p>
    <w:p>
      <w:pPr>
        <w:spacing w:before="120" w:after="120" w:line="360" w:lineRule="exact"/>
        <w:ind w:firstLine="567"/>
        <w:jc w:val="both"/>
      </w:pPr>
      <w:r>
        <w:rPr>
          <w:rFonts w:ascii="Times New Roman" w:hAnsi="Times New Roman" w:cs="Times New Roman" w:eastAsia="Times New Roman"/>
          <w:b w:val="0"/>
          <w:i w:val="0"/>
          <w:sz w:val="28"/>
        </w:rPr>
        <w:t>Việc chuyển từ chấp thuận sang tiếp nhận thông báo tại Ủy ban nhân dân cấp tỉnh đối với các hoạt động còn lại của Điều 10, 13 và 16 không phải phân cấp, vì không đổi cấp có thẩm quyền.</w:t>
      </w:r>
    </w:p>
    <w:p>
      <w:pPr>
        <w:spacing w:before="120" w:after="120" w:line="360" w:lineRule="exact"/>
        <w:ind w:firstLine="567"/>
        <w:jc w:val="both"/>
      </w:pPr>
      <w:r>
        <w:rPr>
          <w:rFonts w:ascii="Times New Roman" w:hAnsi="Times New Roman" w:cs="Times New Roman" w:eastAsia="Times New Roman"/>
          <w:b/>
          <w:i w:val="0"/>
          <w:sz w:val="28"/>
        </w:rPr>
        <w:t>c) Sự cần thiết.</w:t>
      </w:r>
      <w:r>
        <w:rPr>
          <w:rFonts w:ascii="Times New Roman" w:hAnsi="Times New Roman" w:cs="Times New Roman" w:eastAsia="Times New Roman"/>
          <w:b w:val="0"/>
          <w:i w:val="0"/>
          <w:sz w:val="28"/>
        </w:rPr>
        <w:t xml:space="preserve"> Hoạt động của hội chuyên ngành và đơn vị sự nghiệp công lập thuộc Trung ương diễn ra tại địa bàn cụ thể. Ủy ban nhân dân cấp tỉnh nơi tổ chức là cơ quan trực tiếp theo dõi, kiểm tra và yêu cầu dừng khi có vi phạm. Sau khi bỏ thủ tục chấp thuận, việc giữ Bộ làm đầu mối tiếp nhận thông báo sẽ tách đầu mối tiếp nhận khỏi đầu mối kiểm tra tại chỗ. Phân cấp phù hợp với nguyên tắc tại điểm b khoản 2 Điều 11 Luật số 72/2025/QH15 về đẩy mạnh phân quyền, phân cấp các nhiệm vụ, quyền hạn của cơ quan nhà nước ở trung ương cho chính quyền địa phương.</w:t>
      </w:r>
    </w:p>
    <w:p>
      <w:pPr>
        <w:spacing w:before="120" w:after="120" w:line="360" w:lineRule="exact"/>
        <w:ind w:firstLine="567"/>
        <w:jc w:val="both"/>
      </w:pPr>
      <w:r>
        <w:rPr>
          <w:rFonts w:ascii="Times New Roman" w:hAnsi="Times New Roman" w:cs="Times New Roman" w:eastAsia="Times New Roman"/>
          <w:b/>
          <w:i w:val="0"/>
          <w:sz w:val="28"/>
        </w:rPr>
        <w:t>d) Điều kiện bảo đảm thực hiện.</w:t>
      </w:r>
      <w:r>
        <w:rPr>
          <w:rFonts w:ascii="Times New Roman" w:hAnsi="Times New Roman" w:cs="Times New Roman" w:eastAsia="Times New Roman"/>
          <w:b w:val="0"/>
          <w:i w:val="0"/>
          <w:sz w:val="28"/>
        </w:rPr>
        <w:t xml:space="preserve"> Ủy ban nhân dân cấp tỉnh hiện đã chấp thuận phần lớn hoạt động theo điểm b khoản 2 Điều 10, điểm b khoản 2 Điều 13 và khoản 2 Điều 16. Việc tiếp nhận thông báo đòi hỏi nguồn lực thấp hơn việc thẩm định để chấp thuận. Dự thảo không đặt thêm tổ chức bộ máy, biên chế. Trách nhiệm mới của cơ quan tiếp nhận thông báo gồm công khai ngay khi tiếp nhận, yêu cầu bổ sung trong 08 giờ làm việc, chuyển thông báo gửi không đúng thẩm quyền, ghi thời điểm tiếp nhận và gửi lại thông báo, rà soát, theo dõi, kiểm tra.</w:t>
      </w:r>
    </w:p>
    <w:p>
      <w:pPr>
        <w:spacing w:before="120" w:after="120" w:line="360" w:lineRule="exact"/>
        <w:ind w:firstLine="567"/>
        <w:jc w:val="both"/>
      </w:pPr>
      <w:r>
        <w:rPr>
          <w:rFonts w:ascii="Times New Roman" w:hAnsi="Times New Roman" w:cs="Times New Roman" w:eastAsia="Times New Roman"/>
          <w:b/>
          <w:i w:val="0"/>
          <w:sz w:val="28"/>
        </w:rPr>
        <w:t>đ) Kiểm tra, giám sát sau phân cấp.</w:t>
      </w:r>
      <w:r>
        <w:rPr>
          <w:rFonts w:ascii="Times New Roman" w:hAnsi="Times New Roman" w:cs="Times New Roman" w:eastAsia="Times New Roman"/>
          <w:b w:val="0"/>
          <w:i w:val="0"/>
          <w:sz w:val="28"/>
        </w:rPr>
        <w:t xml:space="preserve"> Một là, Bộ Văn hóa, Thể thao và Du lịch giữ nguyên trách nhiệm quản lý nhà nước theo Điều 27 Nghị định số 144/2020/NĐ-CP, gồm ban hành văn bản, chỉ đạo, hướng dẫn, tổ chức thực hiện, hợp tác quốc tế, thanh tra, kiểm tra và xử lý vi phạm; hai là, Ủy ban nhân dân cấp tỉnh chỉ đạo cơ quan chuyên môn và Ủy ban nhân dân cấp xã theo khoản 1 Điều 29 dự thảo; ba là, thông tin về mọi hoạt động đã thông báo được công khai ngay khi tiếp nhận trên hệ thống thông tin điện tử của cơ quan tiếp nhận, và văn bản yêu cầu dừng được đăng tải ngay trong ngày ban hành, tạo nguồn dữ liệu để Bộ theo dõi trên phạm vi cả nước. Cách tổ chức này đáp ứng khoản 3 Điều 13 Luật số 72/2025/QH15 về trách nhiệm theo dõi, hướng dẫn, kiểm tra của cơ quan phân cấp.</w:t>
      </w:r>
    </w:p>
    <w:p>
      <w:pPr>
        <w:spacing w:before="120" w:after="120" w:line="360" w:lineRule="exact"/>
        <w:ind w:firstLine="567"/>
        <w:jc w:val="both"/>
      </w:pPr>
      <w:r>
        <w:rPr>
          <w:rFonts w:ascii="Times New Roman" w:hAnsi="Times New Roman" w:cs="Times New Roman" w:eastAsia="Times New Roman"/>
          <w:b w:val="0"/>
          <w:i w:val="0"/>
          <w:sz w:val="28"/>
        </w:rPr>
        <w:t>Theo khoản 4 Điều 13 Luật số 72/2025/QH15, bên được phân cấp có quyền tham gia ý kiến đối với dự thảo văn bản phân cấp. Dự thảo Nghị định được gửi lấy ý kiến Ủy ban nhân dân các tỉnh, thành phố trực thuộc Trung ương, trong đó đề nghị cho ý kiến về việc phân định thẩm quyền tiếp nhận thông báo giữa cấp tỉnh và cấp xã và về điều kiện bảo đảm tổ chức thực hiện.</w:t>
      </w:r>
    </w:p>
    <w:p>
      <w:pPr>
        <w:keepNext/>
        <w:spacing w:before="120" w:after="120" w:line="360" w:lineRule="exact"/>
        <w:ind w:firstLine="567"/>
        <w:jc w:val="both"/>
      </w:pPr>
      <w:r>
        <w:rPr>
          <w:rFonts w:ascii="Times New Roman" w:hAnsi="Times New Roman" w:cs="Times New Roman" w:eastAsia="Times New Roman"/>
          <w:b/>
          <w:i w:val="0"/>
          <w:sz w:val="28"/>
        </w:rPr>
        <w:t>3. Việc ứng dụng, thúc đẩy phát triển khoa học, công nghệ, đổi mới sáng tạo và chuyển đổi số</w:t>
      </w:r>
    </w:p>
    <w:p>
      <w:pPr>
        <w:spacing w:before="120" w:after="120" w:line="360" w:lineRule="exact"/>
        <w:ind w:firstLine="567"/>
        <w:jc w:val="both"/>
      </w:pPr>
      <w:r>
        <w:rPr>
          <w:rFonts w:ascii="Times New Roman" w:hAnsi="Times New Roman" w:cs="Times New Roman" w:eastAsia="Times New Roman"/>
          <w:b w:val="0"/>
          <w:i w:val="0"/>
          <w:sz w:val="28"/>
        </w:rPr>
        <w:t>Dự thảo giữ và mở rộng phương thức thực hiện trực tuyến đối với việc gửi thông báo và nộp lưu chiểu. Dự thảo bổ sung nghĩa vụ của cơ quan tiếp nhận thông báo cập nhật, công khai trên hệ thống thông tin điện tử của cơ quan mình tên chương trình, thời gian, địa điểm, tổ chức, cá nhân tổ chức và thời điểm tiếp nhận thông báo ngay khi tiếp nhận; bổ sung nghĩa vụ đăng tải văn bản yêu cầu dừng hoạt động ngay trong ngày ban hành. Đây là điều kiện để thực hiện hậu kiểm bằng dữ liệu và để tổ chức, cá nhân, người dân giám sát.</w:t>
      </w:r>
    </w:p>
    <w:p>
      <w:pPr>
        <w:keepNext/>
        <w:spacing w:before="120" w:after="120" w:line="360" w:lineRule="exact"/>
        <w:ind w:firstLine="567"/>
        <w:jc w:val="both"/>
      </w:pPr>
      <w:r>
        <w:rPr>
          <w:rFonts w:ascii="Times New Roman" w:hAnsi="Times New Roman" w:cs="Times New Roman" w:eastAsia="Times New Roman"/>
          <w:b/>
          <w:i w:val="0"/>
          <w:sz w:val="28"/>
        </w:rPr>
        <w:t>4. Việc bảo đảm bình đẳng giới</w:t>
      </w:r>
    </w:p>
    <w:p>
      <w:pPr>
        <w:spacing w:before="120" w:after="120" w:line="360" w:lineRule="exact"/>
        <w:ind w:firstLine="567"/>
        <w:jc w:val="both"/>
      </w:pPr>
      <w:r>
        <w:rPr>
          <w:rFonts w:ascii="Times New Roman" w:hAnsi="Times New Roman" w:cs="Times New Roman" w:eastAsia="Times New Roman"/>
          <w:b w:val="0"/>
          <w:i w:val="0"/>
          <w:sz w:val="28"/>
        </w:rPr>
        <w:t>Dự thảo không quy định nội dung phân biệt theo giới. Các nghĩa vụ và quyền trong dự thảo áp dụng chung cho tổ chức, cá nhân, không phân biệt giới tính. Việc bãi bỏ Điều 19 và Điều 20 gỡ bỏ một thủ tục và một nhóm điều kiện áp dụng trên thực tế chủ yếu đối với cá nhân nữ tham dự các cuộc thi người đẹp ở nước ngoài, theo hướng có lợi cho đối tượng chịu sự tác động.</w:t>
      </w:r>
    </w:p>
    <w:p>
      <w:pPr>
        <w:keepNext/>
        <w:spacing w:before="120" w:after="120" w:line="360" w:lineRule="exact"/>
        <w:ind w:firstLine="567"/>
        <w:jc w:val="both"/>
      </w:pPr>
      <w:r>
        <w:rPr>
          <w:rFonts w:ascii="Times New Roman" w:hAnsi="Times New Roman" w:cs="Times New Roman" w:eastAsia="Times New Roman"/>
          <w:b/>
          <w:i w:val="0"/>
          <w:sz w:val="28"/>
        </w:rPr>
        <w:t>5. Việc thực hiện chính sách dân tộc</w:t>
      </w:r>
    </w:p>
    <w:p>
      <w:pPr>
        <w:spacing w:before="120" w:after="120" w:line="360" w:lineRule="exact"/>
        <w:ind w:firstLine="567"/>
        <w:jc w:val="both"/>
      </w:pPr>
      <w:r>
        <w:rPr>
          <w:rFonts w:ascii="Times New Roman" w:hAnsi="Times New Roman" w:cs="Times New Roman" w:eastAsia="Times New Roman"/>
          <w:b w:val="0"/>
          <w:i w:val="0"/>
          <w:sz w:val="28"/>
        </w:rPr>
        <w:t>Dự thảo không có nội dung điều chỉnh riêng về chính sách dân tộc. Việc giao thẩm quyền tiếp nhận thông báo cho Ủy ban nhân dân cấp xã rút ngắn khoảng cách địa lý đối với tổ chức, cá nhân tại địa bàn miền núi, vùng đồng bào dân tộc thiểu số.</w:t>
      </w:r>
    </w:p>
    <w:p>
      <w:pPr>
        <w:keepNext/>
        <w:spacing w:before="120" w:after="120" w:line="360" w:lineRule="exact"/>
        <w:ind w:firstLine="567"/>
        <w:jc w:val="both"/>
      </w:pPr>
      <w:r>
        <w:rPr>
          <w:rFonts w:ascii="Times New Roman" w:hAnsi="Times New Roman" w:cs="Times New Roman" w:eastAsia="Times New Roman"/>
          <w:b/>
          <w:i w:val="0"/>
          <w:sz w:val="28"/>
        </w:rPr>
        <w:t>III. PHỤ LỤC</w:t>
      </w:r>
    </w:p>
    <w:p>
      <w:pPr>
        <w:spacing w:before="120" w:after="120" w:line="360" w:lineRule="exact"/>
        <w:ind w:firstLine="567"/>
        <w:jc w:val="both"/>
      </w:pPr>
      <w:r>
        <w:rPr>
          <w:rFonts w:ascii="Times New Roman" w:hAnsi="Times New Roman" w:cs="Times New Roman" w:eastAsia="Times New Roman"/>
          <w:b w:val="0"/>
          <w:i w:val="0"/>
          <w:sz w:val="28"/>
        </w:rPr>
        <w:t>Không.</w:t>
      </w:r>
    </w:p>
    <w:sectPr w:rsidR="00FC693F" w:rsidRPr="0006063C" w:rsidSect="00034616">
      <w:headerReference w:type="default" r:id="rId9"/>
      <w:pgSz w:w="11906" w:h="16838"/>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cs="Times New Roman" w:eastAsia="Times New Roman"/>
        <w:b w:val="0"/>
        <w:i w:val="0"/>
        <w:sz w:val="28"/>
      </w:rPr>
      <w:fldChar w:fldCharType="begin"/>
      <w:instrText xml:space="preserve">PAGE</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