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77" w:type="dxa"/>
        <w:jc w:val="center"/>
        <w:tblLook w:val="0000" w:firstRow="0" w:lastRow="0" w:firstColumn="0" w:lastColumn="0" w:noHBand="0" w:noVBand="0"/>
      </w:tblPr>
      <w:tblGrid>
        <w:gridCol w:w="4820"/>
        <w:gridCol w:w="5257"/>
      </w:tblGrid>
      <w:tr w:rsidR="00AE2195" w:rsidRPr="00AE2195" w14:paraId="1F908084" w14:textId="77777777" w:rsidTr="00EF6253">
        <w:trPr>
          <w:trHeight w:val="1188"/>
          <w:jc w:val="center"/>
        </w:trPr>
        <w:tc>
          <w:tcPr>
            <w:tcW w:w="4820" w:type="dxa"/>
          </w:tcPr>
          <w:p w14:paraId="3B62C9E4" w14:textId="77777777" w:rsidR="005D1090" w:rsidRPr="00AE2195" w:rsidRDefault="005D1090" w:rsidP="005D1090">
            <w:pPr>
              <w:pStyle w:val="Heading3"/>
              <w:widowControl w:val="0"/>
              <w:spacing w:before="0" w:beforeAutospacing="0" w:after="0" w:afterAutospacing="0"/>
              <w:rPr>
                <w:noProof/>
                <w:spacing w:val="-14"/>
                <w:sz w:val="28"/>
                <w:szCs w:val="28"/>
              </w:rPr>
            </w:pPr>
            <w:r w:rsidRPr="00AE2195">
              <w:rPr>
                <w:noProof/>
                <w:spacing w:val="-14"/>
                <w:sz w:val="26"/>
                <w:szCs w:val="28"/>
              </w:rPr>
              <w:t>BỘ VĂN HÓA, THỂ THAO VÀ DU LỊCH</w:t>
            </w:r>
          </w:p>
          <w:p w14:paraId="57E80EB0" w14:textId="77777777" w:rsidR="005D1090" w:rsidRPr="00AE2195" w:rsidRDefault="005D1090" w:rsidP="005D1090">
            <w:pPr>
              <w:pStyle w:val="Heading8"/>
              <w:spacing w:before="0"/>
              <w:ind w:firstLine="0"/>
              <w:rPr>
                <w:rFonts w:ascii="Times New Roman" w:hAnsi="Times New Roman"/>
                <w:b/>
                <w:bCs/>
                <w:i/>
                <w:iCs/>
                <w:color w:val="auto"/>
                <w:sz w:val="28"/>
                <w:szCs w:val="28"/>
              </w:rPr>
            </w:pPr>
            <w:r w:rsidRPr="00AE2195">
              <w:rPr>
                <w:rFonts w:ascii="Times New Roman" w:hAnsi="Times New Roman"/>
                <w:b/>
                <w:bCs/>
                <w:i/>
                <w:iCs/>
                <w:noProof/>
                <w:color w:val="auto"/>
                <w:sz w:val="28"/>
                <w:szCs w:val="28"/>
              </w:rPr>
              <mc:AlternateContent>
                <mc:Choice Requires="wps">
                  <w:drawing>
                    <wp:anchor distT="4294967295" distB="4294967295" distL="114300" distR="114300" simplePos="0" relativeHeight="251660288" behindDoc="0" locked="0" layoutInCell="1" allowOverlap="1" wp14:anchorId="1384F835" wp14:editId="6F32D5E7">
                      <wp:simplePos x="0" y="0"/>
                      <wp:positionH relativeFrom="column">
                        <wp:posOffset>1089660</wp:posOffset>
                      </wp:positionH>
                      <wp:positionV relativeFrom="paragraph">
                        <wp:posOffset>78105</wp:posOffset>
                      </wp:positionV>
                      <wp:extent cx="541020" cy="0"/>
                      <wp:effectExtent l="0" t="0" r="0" b="0"/>
                      <wp:wrapNone/>
                      <wp:docPr id="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1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E35360A" id="Line 44"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8pt,6.15pt" to="128.4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iT0GQIAADIEAAAOAAAAZHJzL2Uyb0RvYy54bWysU02P2yAQvVfqf0DcE9tZJ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"/>
                  </w:pict>
                </mc:Fallback>
              </mc:AlternateContent>
            </w:r>
          </w:p>
          <w:p w14:paraId="7C886521" w14:textId="77777777" w:rsidR="005D1090" w:rsidRPr="006978FA" w:rsidRDefault="005D1090" w:rsidP="005D1090">
            <w:pPr>
              <w:pStyle w:val="Heading8"/>
              <w:tabs>
                <w:tab w:val="left" w:pos="690"/>
                <w:tab w:val="center" w:pos="1901"/>
              </w:tabs>
              <w:spacing w:before="0"/>
              <w:ind w:firstLine="0"/>
              <w:jc w:val="left"/>
              <w:rPr>
                <w:rFonts w:ascii="Times New Roman" w:hAnsi="Times New Roman"/>
                <w:bCs/>
                <w:iCs/>
                <w:color w:val="auto"/>
                <w:sz w:val="28"/>
                <w:szCs w:val="28"/>
              </w:rPr>
            </w:pPr>
            <w:r w:rsidRPr="006978FA">
              <w:rPr>
                <w:rFonts w:ascii="Times New Roman" w:hAnsi="Times New Roman"/>
                <w:bCs/>
                <w:i/>
                <w:color w:val="auto"/>
                <w:sz w:val="28"/>
                <w:szCs w:val="28"/>
              </w:rPr>
              <w:tab/>
            </w:r>
            <w:r w:rsidRPr="006978FA">
              <w:rPr>
                <w:rFonts w:ascii="Times New Roman" w:hAnsi="Times New Roman"/>
                <w:bCs/>
                <w:color w:val="auto"/>
                <w:sz w:val="28"/>
                <w:szCs w:val="28"/>
              </w:rPr>
              <w:tab/>
              <w:t>Số:          /TTr-BVHTTDL</w:t>
            </w:r>
          </w:p>
        </w:tc>
        <w:tc>
          <w:tcPr>
            <w:tcW w:w="5257" w:type="dxa"/>
          </w:tcPr>
          <w:p w14:paraId="179C921C" w14:textId="77777777" w:rsidR="005D1090" w:rsidRPr="00AE2195" w:rsidRDefault="005D1090" w:rsidP="005D1090">
            <w:pPr>
              <w:pStyle w:val="Heading3"/>
              <w:widowControl w:val="0"/>
              <w:spacing w:before="0" w:beforeAutospacing="0" w:after="0" w:afterAutospacing="0"/>
              <w:rPr>
                <w:b w:val="0"/>
                <w:bCs w:val="0"/>
                <w:spacing w:val="-16"/>
                <w:sz w:val="28"/>
                <w:szCs w:val="28"/>
              </w:rPr>
            </w:pPr>
            <w:r w:rsidRPr="00AE2195">
              <w:rPr>
                <w:noProof/>
                <w:spacing w:val="-16"/>
                <w:sz w:val="26"/>
                <w:szCs w:val="28"/>
              </w:rPr>
              <w:t>CỘNG HOÀ XÃ HỘI CHỦ NGHĨA VIỆT NAM</w:t>
            </w:r>
          </w:p>
          <w:p w14:paraId="6C9DFE08" w14:textId="77777777" w:rsidR="005D1090" w:rsidRPr="00AE2195" w:rsidRDefault="005D1090" w:rsidP="005D1090">
            <w:pPr>
              <w:keepNext/>
              <w:widowControl w:val="0"/>
              <w:spacing w:before="0"/>
              <w:jc w:val="center"/>
              <w:rPr>
                <w:b/>
                <w:bCs/>
              </w:rPr>
            </w:pPr>
            <w:r w:rsidRPr="00AE2195">
              <w:rPr>
                <w:b/>
                <w:bCs/>
              </w:rPr>
              <w:t>Độc lập - Tự do - Hạnh phúc</w:t>
            </w:r>
          </w:p>
          <w:p w14:paraId="04276C26" w14:textId="77777777" w:rsidR="005D1090" w:rsidRPr="00AE2195" w:rsidRDefault="005D1090" w:rsidP="005D1090">
            <w:pPr>
              <w:keepNext/>
              <w:widowControl w:val="0"/>
              <w:spacing w:before="0"/>
              <w:jc w:val="center"/>
              <w:rPr>
                <w:i/>
                <w:iCs/>
              </w:rPr>
            </w:pPr>
            <w:r w:rsidRPr="00AE2195">
              <w:rPr>
                <w:noProof/>
              </w:rPr>
              <mc:AlternateContent>
                <mc:Choice Requires="wps">
                  <w:drawing>
                    <wp:anchor distT="4294967295" distB="4294967295" distL="114300" distR="114300" simplePos="0" relativeHeight="251659264" behindDoc="0" locked="0" layoutInCell="1" allowOverlap="1" wp14:anchorId="0C44F828" wp14:editId="4CF0C61C">
                      <wp:simplePos x="0" y="0"/>
                      <wp:positionH relativeFrom="column">
                        <wp:posOffset>774801</wp:posOffset>
                      </wp:positionH>
                      <wp:positionV relativeFrom="paragraph">
                        <wp:posOffset>62560</wp:posOffset>
                      </wp:positionV>
                      <wp:extent cx="2141220" cy="7620"/>
                      <wp:effectExtent l="0" t="0" r="30480" b="30480"/>
                      <wp:wrapNone/>
                      <wp:docPr id="2"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122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5EB3893" id="Line 4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pt,4.95pt" to="229.6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"/>
                  </w:pict>
                </mc:Fallback>
              </mc:AlternateContent>
            </w:r>
          </w:p>
          <w:p w14:paraId="776CAF5D" w14:textId="77777777" w:rsidR="005D1090" w:rsidRPr="00AE2195" w:rsidRDefault="005D1090" w:rsidP="005D1090">
            <w:pPr>
              <w:keepNext/>
              <w:widowControl w:val="0"/>
              <w:spacing w:before="0"/>
              <w:jc w:val="center"/>
              <w:rPr>
                <w:b/>
                <w:bCs/>
                <w:i/>
                <w:iCs/>
              </w:rPr>
            </w:pPr>
            <w:r w:rsidRPr="00AE2195">
              <w:rPr>
                <w:i/>
                <w:iCs/>
              </w:rPr>
              <w:t>Hà Nội, ngày      tháng      năm 2026</w:t>
            </w:r>
          </w:p>
        </w:tc>
      </w:tr>
    </w:tbl>
    <w:p w14:paraId="059F1A01" w14:textId="77777777" w:rsidR="005D1090" w:rsidRPr="00AE2195" w:rsidRDefault="005D1090" w:rsidP="005D1090">
      <w:pPr>
        <w:keepNext/>
        <w:widowControl w:val="0"/>
        <w:tabs>
          <w:tab w:val="left" w:pos="1280"/>
        </w:tabs>
        <w:spacing w:before="0"/>
        <w:rPr>
          <w:b/>
          <w:bCs/>
        </w:rPr>
      </w:pPr>
      <w:r w:rsidRPr="00AE2195">
        <w:rPr>
          <w:b/>
          <w:bCs/>
        </w:rPr>
        <w:tab/>
      </w:r>
    </w:p>
    <w:p w14:paraId="43B547DE" w14:textId="77777777" w:rsidR="005D1090" w:rsidRPr="00AE2195" w:rsidRDefault="005D1090" w:rsidP="005D1090">
      <w:pPr>
        <w:keepNext/>
        <w:widowControl w:val="0"/>
        <w:spacing w:before="0"/>
        <w:jc w:val="center"/>
        <w:rPr>
          <w:b/>
          <w:bCs/>
        </w:rPr>
      </w:pPr>
      <w:r w:rsidRPr="00AE2195">
        <w:rPr>
          <w:b/>
          <w:bCs/>
          <w:noProof/>
        </w:rPr>
        <mc:AlternateContent>
          <mc:Choice Requires="wps">
            <w:drawing>
              <wp:anchor distT="0" distB="0" distL="114300" distR="114300" simplePos="0" relativeHeight="251662336" behindDoc="0" locked="0" layoutInCell="1" allowOverlap="1" wp14:anchorId="4BED071F" wp14:editId="5F372021">
                <wp:simplePos x="0" y="0"/>
                <wp:positionH relativeFrom="column">
                  <wp:posOffset>382906</wp:posOffset>
                </wp:positionH>
                <wp:positionV relativeFrom="paragraph">
                  <wp:posOffset>27813</wp:posOffset>
                </wp:positionV>
                <wp:extent cx="855878" cy="387706"/>
                <wp:effectExtent l="0" t="0" r="20955" b="12700"/>
                <wp:wrapNone/>
                <wp:docPr id="4" name="Text Box 4"/>
                <wp:cNvGraphicFramePr/>
                <a:graphic xmlns:a="http://schemas.openxmlformats.org/drawingml/2006/main">
                  <a:graphicData uri="http://schemas.microsoft.com/office/word/2010/wordprocessingShape">
                    <wps:wsp>
                      <wps:cNvSpPr txBox="1"/>
                      <wps:spPr>
                        <a:xfrm>
                          <a:off x="0" y="0"/>
                          <a:ext cx="855878" cy="387706"/>
                        </a:xfrm>
                        <a:prstGeom prst="rect">
                          <a:avLst/>
                        </a:prstGeom>
                        <a:solidFill>
                          <a:schemeClr val="lt1"/>
                        </a:solidFill>
                        <a:ln w="6350">
                          <a:solidFill>
                            <a:prstClr val="black"/>
                          </a:solidFill>
                        </a:ln>
                      </wps:spPr>
                      <wps:txbx>
                        <w:txbxContent>
                          <w:p w14:paraId="4B4BA724" w14:textId="77777777" w:rsidR="005D1090" w:rsidRPr="00AE2195" w:rsidRDefault="005D1090" w:rsidP="005D1090">
                            <w:pPr>
                              <w:ind w:firstLine="0"/>
                              <w:jc w:val="center"/>
                            </w:pPr>
                            <w:r w:rsidRPr="00AE2195">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ED071F" id="_x0000_t202" coordsize="21600,21600" o:spt="202" path="m,l,21600r21600,l21600,xe">
                <v:stroke joinstyle="miter"/>
                <v:path gradientshapeok="t" o:connecttype="rect"/>
              </v:shapetype>
              <v:shape id="Text Box 4" o:spid="_x0000_s1026" type="#_x0000_t202" style="position:absolute;left:0;text-align:left;margin-left:30.15pt;margin-top:2.2pt;width:67.4pt;height:30.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" fillcolor="white [3201]" strokeweight=".5pt">
                <v:textbox>
                  <w:txbxContent>
                    <w:p w14:paraId="4B4BA724" w14:textId="77777777" w:rsidR="005D1090" w:rsidRPr="00AE2195" w:rsidRDefault="005D1090" w:rsidP="005D1090">
                      <w:pPr>
                        <w:ind w:firstLine="0"/>
                        <w:jc w:val="center"/>
                      </w:pPr>
                      <w:r w:rsidRPr="00AE2195">
                        <w:t>Dự thảo</w:t>
                      </w:r>
                    </w:p>
                  </w:txbxContent>
                </v:textbox>
              </v:shape>
            </w:pict>
          </mc:Fallback>
        </mc:AlternateContent>
      </w:r>
    </w:p>
    <w:p w14:paraId="1C92EFA2" w14:textId="77777777" w:rsidR="005D1090" w:rsidRPr="00AE2195" w:rsidRDefault="005D1090" w:rsidP="005D1090">
      <w:pPr>
        <w:keepNext/>
        <w:widowControl w:val="0"/>
        <w:rPr>
          <w:b/>
          <w:bCs/>
        </w:rPr>
      </w:pPr>
      <w:r w:rsidRPr="00AE2195">
        <w:rPr>
          <w:b/>
          <w:bCs/>
        </w:rPr>
        <w:t xml:space="preserve">  </w:t>
      </w:r>
    </w:p>
    <w:p w14:paraId="4BFFE77A" w14:textId="77777777" w:rsidR="005D1090" w:rsidRPr="00AE2195" w:rsidRDefault="005D1090" w:rsidP="005D1090">
      <w:pPr>
        <w:keepNext/>
        <w:widowControl w:val="0"/>
        <w:jc w:val="center"/>
        <w:rPr>
          <w:b/>
          <w:bCs/>
        </w:rPr>
      </w:pPr>
      <w:r w:rsidRPr="00AE2195">
        <w:rPr>
          <w:b/>
          <w:bCs/>
        </w:rPr>
        <w:t>TỜ TRÌNH</w:t>
      </w:r>
    </w:p>
    <w:p w14:paraId="3360140E" w14:textId="77777777" w:rsidR="005D1090" w:rsidRPr="00AE2195" w:rsidRDefault="005D1090" w:rsidP="005D1090">
      <w:pPr>
        <w:jc w:val="center"/>
        <w:rPr>
          <w:b/>
          <w:bCs/>
          <w:lang w:val="nl-NL"/>
        </w:rPr>
      </w:pPr>
      <w:r w:rsidRPr="00AE2195">
        <w:rPr>
          <w:b/>
          <w:bCs/>
        </w:rPr>
        <w:t xml:space="preserve">Dự thảo </w:t>
      </w:r>
      <w:bookmarkStart w:id="0" w:name="_Hlk221287082"/>
      <w:r w:rsidRPr="00AE2195">
        <w:rPr>
          <w:rFonts w:eastAsia="Calibri"/>
          <w:b/>
          <w:bCs/>
          <w:iCs/>
          <w:spacing w:val="-2"/>
          <w:lang w:val="nl-NL"/>
        </w:rPr>
        <w:t xml:space="preserve">Nghị định thay thế Nghị định số 60/2014/NĐ-CР ngày 19/6/2014 của Chính phủ quy định về hoạt động in (được sửa đổi, bổ sung một số điều tại Nghị định số 25/2018/NĐ-CP và Nghị định số 72/2022/NĐ-CP </w:t>
      </w:r>
      <w:r w:rsidRPr="00AE2195">
        <w:rPr>
          <w:rFonts w:eastAsia="Calibri"/>
          <w:b/>
          <w:bCs/>
          <w:iCs/>
          <w:spacing w:val="-2"/>
          <w:lang w:val="nl-NL"/>
        </w:rPr>
        <w:br/>
        <w:t>quy định về hoạt động in)</w:t>
      </w:r>
      <w:bookmarkEnd w:id="0"/>
    </w:p>
    <w:p w14:paraId="07EE23AC" w14:textId="77777777" w:rsidR="005D1090" w:rsidRPr="00AE2195" w:rsidRDefault="005D1090" w:rsidP="005D1090">
      <w:pPr>
        <w:jc w:val="center"/>
      </w:pPr>
      <w:r w:rsidRPr="00AE2195">
        <w:rPr>
          <w:b/>
          <w:noProof/>
        </w:rPr>
        <mc:AlternateContent>
          <mc:Choice Requires="wps">
            <w:drawing>
              <wp:anchor distT="4294967295" distB="4294967295" distL="114300" distR="114300" simplePos="0" relativeHeight="251661312" behindDoc="0" locked="0" layoutInCell="1" allowOverlap="1" wp14:anchorId="60D87318" wp14:editId="6AC44924">
                <wp:simplePos x="0" y="0"/>
                <wp:positionH relativeFrom="column">
                  <wp:posOffset>2072640</wp:posOffset>
                </wp:positionH>
                <wp:positionV relativeFrom="paragraph">
                  <wp:posOffset>55879</wp:posOffset>
                </wp:positionV>
                <wp:extent cx="1620520" cy="0"/>
                <wp:effectExtent l="0" t="0" r="30480" b="25400"/>
                <wp:wrapNone/>
                <wp:docPr id="1"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0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CA03146" id="Line 4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3.2pt,4.4pt" to="29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t3fEgIAACk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"/>
            </w:pict>
          </mc:Fallback>
        </mc:AlternateContent>
      </w:r>
    </w:p>
    <w:p w14:paraId="55DB3501" w14:textId="77777777" w:rsidR="005D1090" w:rsidRPr="00AE2195" w:rsidRDefault="005D1090" w:rsidP="005D1090">
      <w:pPr>
        <w:ind w:firstLine="0"/>
        <w:jc w:val="center"/>
      </w:pPr>
      <w:r w:rsidRPr="00AE2195">
        <w:t>Kính gửi: Thủ tướng Chính phủ</w:t>
      </w:r>
    </w:p>
    <w:p w14:paraId="558D580E" w14:textId="77777777" w:rsidR="005D1090" w:rsidRPr="00AE2195" w:rsidRDefault="005D1090" w:rsidP="005D1090"/>
    <w:p w14:paraId="2A77F21F" w14:textId="77777777" w:rsidR="005D1090" w:rsidRPr="00AE2195" w:rsidRDefault="005D1090" w:rsidP="005D1090">
      <w:pPr>
        <w:spacing w:before="60" w:line="276" w:lineRule="auto"/>
        <w:outlineLvl w:val="1"/>
        <w:rPr>
          <w:rFonts w:eastAsia="Times New Roman"/>
          <w:b/>
          <w:bCs/>
        </w:rPr>
      </w:pPr>
      <w:r w:rsidRPr="00AE2195">
        <w:t>Thực hiện quy định của Luật Ban hành văn bản quy phạm pháp luật số 64/2025/QH15 và văn bản hướng dẫn, Bộ Văn hóa, Thể thao và Du lịch trình Thủ tướng Chính phủ dự án</w:t>
      </w:r>
      <w:r w:rsidRPr="00AE2195">
        <w:rPr>
          <w:b/>
        </w:rPr>
        <w:t xml:space="preserve"> </w:t>
      </w:r>
      <w:r w:rsidRPr="00AE2195">
        <w:t xml:space="preserve">Xây dựng </w:t>
      </w:r>
      <w:r w:rsidRPr="00AE2195">
        <w:rPr>
          <w:rFonts w:eastAsia="Calibri"/>
          <w:bCs/>
          <w:iCs/>
          <w:spacing w:val="-2"/>
          <w:lang w:val="nl-NL"/>
        </w:rPr>
        <w:t xml:space="preserve">Nghị định thay thế Nghị định số 60/2014/NĐ-CР ngày 19/6/2014 của Chính phủ quy định về hoạt động </w:t>
      </w:r>
      <w:r w:rsidRPr="00AE2195">
        <w:rPr>
          <w:rFonts w:eastAsia="Calibri"/>
          <w:bCs/>
          <w:iCs/>
          <w:lang w:val="nl-NL"/>
        </w:rPr>
        <w:t>in (được sửa đổi, bổ sung một số điều tại Nghị định số 25/2018/NĐ-CP và Nghị định số 72/2022/NĐ-CP</w:t>
      </w:r>
      <w:r w:rsidRPr="00AE2195">
        <w:rPr>
          <w:rFonts w:eastAsia="Calibri"/>
          <w:bCs/>
          <w:iCs/>
          <w:spacing w:val="-2"/>
          <w:lang w:val="nl-NL"/>
        </w:rPr>
        <w:t xml:space="preserve"> </w:t>
      </w:r>
      <w:r w:rsidRPr="00AE2195">
        <w:rPr>
          <w:rFonts w:eastAsia="Calibri"/>
          <w:bCs/>
          <w:iCs/>
          <w:spacing w:val="-2"/>
          <w:lang w:val="nl-NL"/>
        </w:rPr>
        <w:br/>
        <w:t>quy định về hoạt động in)</w:t>
      </w:r>
      <w:r w:rsidRPr="00AE2195">
        <w:t>, bao gồm nội dung sau:</w:t>
      </w:r>
    </w:p>
    <w:p w14:paraId="56904B5A" w14:textId="77777777" w:rsidR="00702F83" w:rsidRPr="00AE2195" w:rsidRDefault="00702F83" w:rsidP="005D1090">
      <w:pPr>
        <w:spacing w:before="60" w:line="276" w:lineRule="auto"/>
        <w:outlineLvl w:val="1"/>
        <w:rPr>
          <w:rFonts w:eastAsia="Times New Roman"/>
          <w:b/>
          <w:bCs/>
        </w:rPr>
      </w:pPr>
      <w:r w:rsidRPr="00AE2195">
        <w:rPr>
          <w:rFonts w:eastAsia="Times New Roman"/>
          <w:b/>
          <w:bCs/>
        </w:rPr>
        <w:t>I. SỰ CẦN THIẾT BAN HÀNH NGHỊ ĐỊNH</w:t>
      </w:r>
    </w:p>
    <w:p w14:paraId="78A7AF75" w14:textId="77777777" w:rsidR="00702F83" w:rsidRPr="00AE2195" w:rsidRDefault="00702F83" w:rsidP="005D1090">
      <w:pPr>
        <w:spacing w:before="60" w:line="276" w:lineRule="auto"/>
        <w:outlineLvl w:val="2"/>
        <w:rPr>
          <w:rFonts w:eastAsia="Times New Roman"/>
          <w:b/>
          <w:bCs/>
        </w:rPr>
      </w:pPr>
      <w:r w:rsidRPr="00AE2195">
        <w:rPr>
          <w:rFonts w:eastAsia="Times New Roman"/>
          <w:b/>
          <w:bCs/>
        </w:rPr>
        <w:t>1. Cơ sở chính trị</w:t>
      </w:r>
    </w:p>
    <w:p w14:paraId="54030DB2" w14:textId="77777777" w:rsidR="00702F83" w:rsidRPr="00AE2195" w:rsidRDefault="00702F83" w:rsidP="005D1090">
      <w:pPr>
        <w:pStyle w:val="NormalWeb"/>
        <w:spacing w:before="60" w:beforeAutospacing="0" w:after="0" w:afterAutospacing="0" w:line="276" w:lineRule="auto"/>
        <w:ind w:firstLine="720"/>
        <w:jc w:val="both"/>
        <w:rPr>
          <w:sz w:val="28"/>
          <w:szCs w:val="28"/>
        </w:rPr>
      </w:pPr>
      <w:r w:rsidRPr="00AE2195">
        <w:rPr>
          <w:sz w:val="28"/>
          <w:szCs w:val="28"/>
        </w:rPr>
        <w:t>Việc xây dựng Nghị định quy định về hoạt động in nhằm thể chế hóa kịp thời, đầy đủ các chủ trương, định hướng lớn của Đảng về hoàn thiện thể chế, chuyển đổi số, phát triển kinh tế xanh và nâng cao hiệu lực, hiệu quả quản lý nhà nước trong giai đoạn mới.</w:t>
      </w:r>
    </w:p>
    <w:p w14:paraId="3C396334" w14:textId="009F8F98" w:rsidR="00AE2195" w:rsidRPr="00AE2195" w:rsidRDefault="00AE2195" w:rsidP="00AE2195">
      <w:pPr>
        <w:pStyle w:val="NormalWeb"/>
        <w:spacing w:before="60" w:beforeAutospacing="0" w:after="0" w:afterAutospacing="0" w:line="276" w:lineRule="auto"/>
        <w:ind w:firstLine="720"/>
        <w:jc w:val="both"/>
        <w:rPr>
          <w:sz w:val="28"/>
          <w:szCs w:val="28"/>
          <w:lang w:val="vi-VN"/>
        </w:rPr>
      </w:pPr>
      <w:r w:rsidRPr="00AE2195">
        <w:rPr>
          <w:sz w:val="28"/>
          <w:szCs w:val="28"/>
          <w:lang w:val="vi-VN"/>
        </w:rPr>
        <w:t xml:space="preserve">Nghị quyết số 80-NQ/TW ngày 07/01/2026 của Bộ Chính trị về phát triển văn hóa Việt Nam nhấn mạnh tầm quan trọng của văn hóa và định hướng phát triển trong thời gian tới là: “Đầu tư cho văn hoá là đầu tư cho phát triển bền vững đất nước, cho tương lai của dân tộc. Đổi mới căn bản, toàn diện tư duy về huy động mọi nguồn lực để phát triển văn hoá, trong đó nguồn lực nhà nước giữ vai trò dẫn dắt, nguồn lực xã hội, khu vực tư nhân là động lực quan trọng; thể chế đóng vai trò then chốt, nhất là cơ chế, chính sách đột phá để huy động và sử dụng hiệu quả nguồn lực đầu tư cho văn hoá, thu hút, trọng dụng nhân tài. Phát triển khoa học, công nghệ, đổi mới sáng tạo, chuyển đổi số tạo dựng không gian mới, xung lực mới cho phát triển văn hoá”. </w:t>
      </w:r>
      <w:r w:rsidRPr="00AE2195">
        <w:rPr>
          <w:sz w:val="28"/>
          <w:szCs w:val="28"/>
          <w:lang w:val="vi-VN"/>
        </w:rPr>
        <w:lastRenderedPageBreak/>
        <w:t>Đồng thời, đặt ra yêu cầu: “phát triển văn hóa phải gắn với khoa học công nghệ và các nền tảng số, thúc đẩy hình thành các ngành công nghiệp nội dung hiện đại”.</w:t>
      </w:r>
    </w:p>
    <w:p w14:paraId="04547B8F" w14:textId="4ABA29F2" w:rsidR="00AE2195" w:rsidRPr="00AE2195" w:rsidRDefault="00AE2195" w:rsidP="00AE2195">
      <w:pPr>
        <w:pStyle w:val="NormalWeb"/>
        <w:spacing w:before="60" w:beforeAutospacing="0" w:after="0" w:afterAutospacing="0" w:line="276" w:lineRule="auto"/>
        <w:ind w:firstLine="720"/>
        <w:jc w:val="both"/>
        <w:rPr>
          <w:sz w:val="28"/>
          <w:szCs w:val="28"/>
          <w:lang w:val="vi-VN"/>
        </w:rPr>
      </w:pPr>
      <w:r w:rsidRPr="00AE2195">
        <w:rPr>
          <w:sz w:val="28"/>
          <w:szCs w:val="28"/>
          <w:shd w:val="clear" w:color="auto" w:fill="FFFFFF"/>
        </w:rPr>
        <w:t>Chỉ thị số 04-CT/TW ngày 17/3/2026 của Ban Bí thư về tăng cường sự lãnh đạo của Đảng đối với hoạt động xuất bản trong tình hình mới đặt ra yêu cầu phát triển hoạt động xuất bản, in, phát hành theo hướng chuyên nghiệp, hiện đại, gắn với khoa học, công nghệ, chuyển đổi số và nâng cao năng lực cạnh tranh. Chỉ thị xác định mục tiêu đến năm 2030 “80% cơ sở in có công nghệ hiện đại”; đồng thời yêu cầu xây dựng hạ tầng kỹ thuật số, nền tảng dữ liệu dùng chung toàn ngành, kết nối, chia sẻ với các cơ sở dữ liệu quốc gia và cơ sở dữ liệu chuyên ngành; “đẩy mạnh cải cách, cắt giảm thủ tục hành chính, điều kiện kinh doanh”, tạo thuận lợi cho cơ sở in trong hoạt động sản xuất, kinh doanh; “mở rộng thị trường in”, khuyến khích cơ sở in trong nước tham gia chuỗi cung ứng hàng hóa công nghiệp toàn cầu; tăng cường thanh tra, kiểm tra, xử lý các hành vi in lậu, in trái phép, vi phạm sở hữu trí tuệ và bản quyền. Đây là cơ sở chính trị trực tiếp để dự thảo Nghị định hoàn thiện cơ chế quản lý hoạt động in theo hướng hiện đại hóa công nghệ, xây dựng Cơ sở dữ liệu về hoạt động in và mã dữ liệu cơ sở in, thiết bị in, cải cách thủ tục hành chính, quản lý rủi ro, tăng cường hậu kiểm, phòng, chống in lậu, đồng thời bổ sung các chính sách thúc đẩy phát triển thị trường, xuất khẩu và nâng cao năng lực tham gia chuỗi cung ứng của ngành in.</w:t>
      </w:r>
    </w:p>
    <w:p w14:paraId="1431389D" w14:textId="77777777" w:rsidR="00702F83" w:rsidRPr="00AE2195" w:rsidRDefault="00702F83" w:rsidP="005D1090">
      <w:pPr>
        <w:pStyle w:val="NormalWeb"/>
        <w:spacing w:before="60" w:beforeAutospacing="0" w:after="0" w:afterAutospacing="0" w:line="276" w:lineRule="auto"/>
        <w:ind w:firstLine="720"/>
        <w:jc w:val="both"/>
        <w:rPr>
          <w:sz w:val="28"/>
          <w:szCs w:val="28"/>
        </w:rPr>
      </w:pPr>
      <w:r w:rsidRPr="00AE2195">
        <w:rPr>
          <w:sz w:val="28"/>
          <w:szCs w:val="28"/>
        </w:rPr>
        <w:t>Nghị quyết số 57-NQ/TW ngày 22/12/2024 của Bộ Chính trị về đẩy mạnh chuyển đổi số quốc gia, phát triển kinh tế số và xã hội số đã xác định rõ yêu cầu “lấy dữ liệu là tài nguyên mới, là nền tảng của quản trị hiện đại; đổi mới phương thức quản lý nhà nước theo hướng dựa trên dữ liệu, ứng dụng công nghệ số và tăng cường kết nối, chia sẻ thông tin giữa các cơ quan”. Đây là cơ sở chính trị trực tiếp để xây dựng các quy định về Cơ sở dữ liệu về hoạt động in, mã dữ liệu cơ sở in, mã dữ liệu thiết bị in và quản lý rủi ro trong hoạt động in. Ngoài ra, Nghị quyết đã nhấn mạnh yêu cầu “đẩy mạnh ứng dụng công nghệ tiên tiến, chuyển đổi số trong sản xuất, nâng cao năng suất, chất lượng và sức cạnh tranh của các ngành kinh tế”. Nội dung này được phản ánh trong chính sách khuyến khích công nghệ in hiện đại, quản trị số và đổi mới công nghệ trong ngành in.</w:t>
      </w:r>
    </w:p>
    <w:p w14:paraId="3F55956F" w14:textId="77777777" w:rsidR="00702F83" w:rsidRPr="00AE2195" w:rsidRDefault="00702F83" w:rsidP="005D1090">
      <w:pPr>
        <w:pStyle w:val="NormalWeb"/>
        <w:spacing w:before="60" w:beforeAutospacing="0" w:after="0" w:afterAutospacing="0" w:line="276" w:lineRule="auto"/>
        <w:ind w:firstLine="720"/>
        <w:jc w:val="both"/>
        <w:rPr>
          <w:sz w:val="28"/>
          <w:szCs w:val="28"/>
        </w:rPr>
      </w:pPr>
      <w:r w:rsidRPr="00AE2195">
        <w:rPr>
          <w:sz w:val="28"/>
          <w:szCs w:val="28"/>
        </w:rPr>
        <w:t xml:space="preserve">Nghị quyết số 66-NQ/TW </w:t>
      </w:r>
      <w:r w:rsidR="00D04712" w:rsidRPr="00AE2195">
        <w:rPr>
          <w:sz w:val="28"/>
          <w:szCs w:val="28"/>
        </w:rPr>
        <w:t xml:space="preserve">ngày 30/4/2025 của Bộ Chính trị </w:t>
      </w:r>
      <w:r w:rsidRPr="00AE2195">
        <w:rPr>
          <w:sz w:val="28"/>
          <w:szCs w:val="28"/>
        </w:rPr>
        <w:t>về tiếp tục đổi mới, hoàn thiện thể chế phát triển đã nhấn mạnh yêu cầu “đẩy mạnh cải cách thủ tục hành chính, cắt giảm điều kiện kinh doanh không cần thiết, chuyển mạnh từ tiền kiểm sang hậu kiểm, tăng cường phân cấp, phân quyền đi đôi với kiểm tra, giám sát”. Nội dung này được thể chế hóa trong dự thảo thông qua việc chuyển cơ chế cấp phép sang đăng ký, đơn giản hóa thủ tục và tăng cường phân cấp cho địa phương.</w:t>
      </w:r>
    </w:p>
    <w:p w14:paraId="51529838" w14:textId="77777777" w:rsidR="00702F83" w:rsidRPr="00AE2195" w:rsidRDefault="00702F83" w:rsidP="005D1090">
      <w:pPr>
        <w:pStyle w:val="NormalWeb"/>
        <w:spacing w:before="60" w:beforeAutospacing="0" w:after="0" w:afterAutospacing="0" w:line="276" w:lineRule="auto"/>
        <w:ind w:firstLine="720"/>
        <w:jc w:val="both"/>
        <w:rPr>
          <w:sz w:val="28"/>
          <w:szCs w:val="28"/>
        </w:rPr>
      </w:pPr>
      <w:r w:rsidRPr="00AE2195">
        <w:rPr>
          <w:sz w:val="28"/>
          <w:szCs w:val="28"/>
        </w:rPr>
        <w:lastRenderedPageBreak/>
        <w:t>Nghị quyết số 68-NQ/TW</w:t>
      </w:r>
      <w:r w:rsidR="00D04712" w:rsidRPr="00AE2195">
        <w:rPr>
          <w:sz w:val="28"/>
          <w:szCs w:val="28"/>
        </w:rPr>
        <w:t xml:space="preserve"> ngày 04/5/2025 của Bộ Chính trị</w:t>
      </w:r>
      <w:r w:rsidRPr="00AE2195">
        <w:rPr>
          <w:sz w:val="28"/>
          <w:szCs w:val="28"/>
        </w:rPr>
        <w:t xml:space="preserve"> về phát triển kinh tế tư nhân xác định “kinh tế tư nhân là một động lực quan trọng của nền kinh tế”, đồng thời yêu cầu “tạo lập môi trường đầu tư kinh doanh thông thoáng, minh bạch, ổn định, giảm chi phí tuân thủ cho doanh nghiệp”. Đây là cơ sở để thiết kế các quy định cải cách thủ tục hành chính và tạo thuận lợi cho cơ sở in hoạt động.</w:t>
      </w:r>
    </w:p>
    <w:p w14:paraId="68A66E77" w14:textId="77777777" w:rsidR="00702F83" w:rsidRPr="00AE2195" w:rsidRDefault="00D04712" w:rsidP="005D1090">
      <w:pPr>
        <w:pStyle w:val="NormalWeb"/>
        <w:spacing w:before="60" w:beforeAutospacing="0" w:after="0" w:afterAutospacing="0" w:line="276" w:lineRule="auto"/>
        <w:ind w:firstLine="720"/>
        <w:jc w:val="both"/>
        <w:rPr>
          <w:sz w:val="28"/>
          <w:szCs w:val="28"/>
        </w:rPr>
      </w:pPr>
      <w:r w:rsidRPr="00AE2195">
        <w:rPr>
          <w:sz w:val="28"/>
          <w:szCs w:val="28"/>
          <w:shd w:val="clear" w:color="auto" w:fill="FFFFFF"/>
        </w:rPr>
        <w:t xml:space="preserve">Nghị quyết số 29-NQ/TW ngày 17/11/2022 của Ban Chấp hành Trung ương Đảng khóa XIII về tiếp tục đẩy mạnh công nghiệp hóa, hiện đại hóa đất nước đến năm 2030, tầm nhìn đến năm 2045 </w:t>
      </w:r>
      <w:r w:rsidRPr="00AE2195">
        <w:rPr>
          <w:sz w:val="28"/>
          <w:szCs w:val="28"/>
        </w:rPr>
        <w:t>đã định hướng phát triển theo hướng kinh tế xanh, kinh tế tuần hoàn, sử dụng hiệu quả tài nguyên và bảo vệ môi trường.</w:t>
      </w:r>
      <w:r w:rsidR="00702F83" w:rsidRPr="00AE2195">
        <w:rPr>
          <w:sz w:val="28"/>
          <w:szCs w:val="28"/>
        </w:rPr>
        <w:t xml:space="preserve"> Đây là cơ sở chính trị để xây dựng các quy định về chuyển đổi xanh trong hoạt động in, kiểm soát công nghệ và thiết bị.</w:t>
      </w:r>
    </w:p>
    <w:p w14:paraId="53E8A811" w14:textId="77777777" w:rsidR="00702F83" w:rsidRPr="00AE2195" w:rsidRDefault="005D1090" w:rsidP="005D1090">
      <w:pPr>
        <w:pStyle w:val="NormalWeb"/>
        <w:spacing w:before="60" w:beforeAutospacing="0" w:after="0" w:afterAutospacing="0" w:line="276" w:lineRule="auto"/>
        <w:ind w:firstLine="720"/>
        <w:jc w:val="both"/>
        <w:rPr>
          <w:sz w:val="28"/>
          <w:szCs w:val="28"/>
          <w:lang w:val="vi-VN"/>
        </w:rPr>
      </w:pPr>
      <w:bookmarkStart w:id="1" w:name="loai_1_name"/>
      <w:bookmarkStart w:id="2" w:name="loai_1_name_name"/>
      <w:bookmarkEnd w:id="1"/>
      <w:bookmarkEnd w:id="2"/>
      <w:r w:rsidRPr="00AE2195">
        <w:rPr>
          <w:sz w:val="28"/>
          <w:szCs w:val="28"/>
        </w:rPr>
        <w:t>Nghị quyết số 52-NQ/TW ngày 27/9/2019 của Bộ Chính trị về một số chủ trương, chính sách chủ động tham gia cuộc cách mạng công nghiệp lần thứ tư và Nghị quyết số 14-NQ/TW ngày 10/10/2023 của Bộ Chính trị về xây dựng và phát huy vai trò của đội ngũ doanh nhân Việt Nam trong thời kỳ mới đã yêu cầu “nâng cao hiệu quả phòng, chống sản xuất, buôn bán hàng giả, xâm phạm quyền sở hữu trí tuệ; tăng cường phối hợp liên ngành và ứng dụng công nghệ trong phát hiện, xử lý vi phạm”. Đây là nền tảng để thiết kế các quy định về quản lý rủi ro, quản lý dữ liệu, kiểm soát thiết bị và tăng cường phối hợp trong phòng, chống in lậu, hàng giả.</w:t>
      </w:r>
    </w:p>
    <w:p w14:paraId="1F84700A" w14:textId="77777777" w:rsidR="00702F83" w:rsidRPr="00AE2195" w:rsidRDefault="00702F83" w:rsidP="005D1090">
      <w:pPr>
        <w:pStyle w:val="NormalWeb"/>
        <w:spacing w:before="60" w:beforeAutospacing="0" w:after="0" w:afterAutospacing="0" w:line="276" w:lineRule="auto"/>
        <w:ind w:firstLine="720"/>
        <w:jc w:val="both"/>
        <w:rPr>
          <w:sz w:val="28"/>
          <w:szCs w:val="28"/>
          <w:lang w:val="vi-VN"/>
        </w:rPr>
      </w:pPr>
      <w:r w:rsidRPr="00AE2195">
        <w:rPr>
          <w:sz w:val="28"/>
          <w:szCs w:val="28"/>
          <w:lang w:val="vi-VN"/>
        </w:rPr>
        <w:t>Như vậy, dự thảo Nghị định đã bám sát và cụ thể hóa các định hướng lớn của Đảng, đặc biệt là yêu cầu chuyển đổi phương thức quản lý nhà nước, phát triển ngành theo hướng hiện đại, xanh và tăng cường kiểm soát, phòng, chống vi phạm trong bối cảnh mới.</w:t>
      </w:r>
    </w:p>
    <w:p w14:paraId="36CAFDA2" w14:textId="77777777" w:rsidR="00702F83" w:rsidRPr="00AE2195" w:rsidRDefault="00702F83" w:rsidP="005D1090">
      <w:pPr>
        <w:spacing w:before="60" w:line="276" w:lineRule="auto"/>
        <w:outlineLvl w:val="2"/>
        <w:rPr>
          <w:rFonts w:eastAsia="Times New Roman"/>
          <w:b/>
          <w:bCs/>
          <w:lang w:val="vi-VN"/>
        </w:rPr>
      </w:pPr>
      <w:r w:rsidRPr="00AE2195">
        <w:rPr>
          <w:rFonts w:eastAsia="Times New Roman"/>
          <w:b/>
          <w:bCs/>
          <w:lang w:val="vi-VN"/>
        </w:rPr>
        <w:t>2. Cơ sở pháp lý</w:t>
      </w:r>
    </w:p>
    <w:p w14:paraId="24710D10" w14:textId="77777777" w:rsidR="00702F83" w:rsidRPr="00AE2195" w:rsidRDefault="00702F83" w:rsidP="005D1090">
      <w:pPr>
        <w:spacing w:before="60" w:line="276" w:lineRule="auto"/>
        <w:outlineLvl w:val="2"/>
        <w:rPr>
          <w:lang w:val="vi-VN"/>
        </w:rPr>
      </w:pPr>
      <w:r w:rsidRPr="00AE2195">
        <w:rPr>
          <w:lang w:val="vi-VN"/>
        </w:rPr>
        <w:t>Việc xây dựng Nghị định quy định về hoạt động in được thực hiện trên cơ sở các quy định của pháp luật hiện hành về thẩm quyền ban hành văn bản quy phạm pháp luật của Chính phủ.</w:t>
      </w:r>
    </w:p>
    <w:p w14:paraId="200EF728" w14:textId="77777777" w:rsidR="00702F83" w:rsidRPr="00AE2195" w:rsidRDefault="00702F83" w:rsidP="005D1090">
      <w:pPr>
        <w:spacing w:before="60" w:line="276" w:lineRule="auto"/>
        <w:outlineLvl w:val="2"/>
        <w:rPr>
          <w:lang w:val="vi-VN"/>
        </w:rPr>
      </w:pPr>
      <w:r w:rsidRPr="00AE2195">
        <w:rPr>
          <w:lang w:val="vi-VN"/>
        </w:rPr>
        <w:t>Theo quy định của Luật Tổ chức Chính phủ năm 2025, Chính phủ có thẩm quyền ban hành nghị định để thực hiện chức năng quản lý nhà nước đối với các ngành, lĩnh vực trong phạm vi cả nước; tổ chức thi hành Hiến pháp, luật và các văn bản của cơ quan nhà nước cấp trên; đồng thời quy định các biện pháp cần thiết để quản lý, điều hành các hoạt động kinh tế - xã hội trong từng lĩnh vực.</w:t>
      </w:r>
    </w:p>
    <w:p w14:paraId="792C72EC" w14:textId="77777777" w:rsidR="00702F83" w:rsidRPr="00AE2195" w:rsidRDefault="00702F83" w:rsidP="005D1090">
      <w:pPr>
        <w:spacing w:before="60" w:line="276" w:lineRule="auto"/>
        <w:outlineLvl w:val="2"/>
        <w:rPr>
          <w:lang w:val="vi-VN"/>
        </w:rPr>
      </w:pPr>
      <w:r w:rsidRPr="00AE2195">
        <w:rPr>
          <w:lang w:val="vi-VN"/>
        </w:rPr>
        <w:t xml:space="preserve">Theo quy định của Luật Ban hành văn bản quy phạm pháp luật, nghị định của Chính phủ được ban hành không chỉ để quy định chi tiết thi hành luật, nghị quyết của Quốc hội, mà còn để quy định các vấn đề cần thiết thuộc thẩm quyền quản lý của </w:t>
      </w:r>
      <w:r w:rsidRPr="00AE2195">
        <w:rPr>
          <w:lang w:val="vi-VN"/>
        </w:rPr>
        <w:lastRenderedPageBreak/>
        <w:t>Chính phủ trong trường hợp luật chưa quy định hoặc chưa quy định cụ thể. Đây là cơ sở pháp lý để Chính phủ ban hành các nghị định điều chỉnh toàn diện một lĩnh vực quản lý nhà nước.</w:t>
      </w:r>
    </w:p>
    <w:p w14:paraId="3941CD2F" w14:textId="77777777" w:rsidR="00702F83" w:rsidRPr="00AE2195" w:rsidRDefault="00702F83" w:rsidP="005D1090">
      <w:pPr>
        <w:spacing w:before="60" w:line="276" w:lineRule="auto"/>
        <w:outlineLvl w:val="2"/>
        <w:rPr>
          <w:lang w:val="vi-VN"/>
        </w:rPr>
      </w:pPr>
      <w:r w:rsidRPr="00AE2195">
        <w:rPr>
          <w:lang w:val="vi-VN"/>
        </w:rPr>
        <w:t>Nghị định quy định về hoạt động in là loại nghị định quy định về quản lý nhà nước đối với một ngành, lĩnh vực cụ thể, không phải là nghị định quy định chi tiết riêng một điều, khoản của luật, mà là nghị định mang tính chất điều chỉnh tổng thể, kế thừa và phát triển hệ thống quy định hiện hành. Do đó, việc ban hành Nghị định này là phù hợp với thẩm quyền của Chính phủ theo quy định của Luật Tổ chức Chính phủ và Luật Ban hành văn bản quy phạm pháp luật.</w:t>
      </w:r>
    </w:p>
    <w:p w14:paraId="2C694AE2" w14:textId="77777777" w:rsidR="00702F83" w:rsidRPr="00AE2195" w:rsidRDefault="00702F83" w:rsidP="005D1090">
      <w:pPr>
        <w:spacing w:before="60" w:line="276" w:lineRule="auto"/>
        <w:outlineLvl w:val="2"/>
        <w:rPr>
          <w:lang w:val="vi-VN"/>
        </w:rPr>
      </w:pPr>
      <w:r w:rsidRPr="00AE2195">
        <w:rPr>
          <w:lang w:val="vi-VN"/>
        </w:rPr>
        <w:t>Bên cạnh đó, việc ban hành Nghị định còn nhằm thay thế Nghị định số 60/2014/NĐ-CP, Nghị định số 25/2018/NĐ-CP và Nghị định số 72/2022/NĐ-CP, bảo đảm tính thống nhất, đồng bộ của hệ thống pháp luật và phù hợp với yêu cầu quản lý trong bối cảnh mới.</w:t>
      </w:r>
    </w:p>
    <w:p w14:paraId="5E6A8C87" w14:textId="77777777" w:rsidR="00702F83" w:rsidRPr="00AE2195" w:rsidRDefault="00702F83" w:rsidP="005D1090">
      <w:pPr>
        <w:spacing w:before="60" w:line="276" w:lineRule="auto"/>
        <w:outlineLvl w:val="2"/>
        <w:rPr>
          <w:lang w:val="vi-VN"/>
        </w:rPr>
      </w:pPr>
      <w:r w:rsidRPr="00AE2195">
        <w:rPr>
          <w:lang w:val="vi-VN"/>
        </w:rPr>
        <w:t>Đồng thời, dự thảo Nghị định được xây dựng trên cơ sở rà soát, kế thừa có chọn lọc các quy định còn phù hợp, đồng thời bổ sung các nội dung mới về chuyển đổi số, quản lý dữ liệu, quản lý rủi ro, chuyển đổi xanh, cải cách thủ tục hành chính và kiểm soát công nghệ, bảo đảm phù hợp với các quy định pháp luật có liên quan về đầu tư, doanh nghiệp, bảo vệ môi trường, khoa học và công nghệ, sở hữu trí tuệ, thương mại và hải quan.</w:t>
      </w:r>
    </w:p>
    <w:p w14:paraId="389DFB5F" w14:textId="77777777" w:rsidR="00702F83" w:rsidRPr="00AE2195" w:rsidRDefault="00702F83" w:rsidP="005D1090">
      <w:pPr>
        <w:spacing w:before="60" w:line="276" w:lineRule="auto"/>
        <w:outlineLvl w:val="2"/>
        <w:rPr>
          <w:rFonts w:eastAsia="Times New Roman"/>
          <w:b/>
          <w:bCs/>
          <w:lang w:val="vi-VN"/>
        </w:rPr>
      </w:pPr>
      <w:r w:rsidRPr="00AE2195">
        <w:rPr>
          <w:rFonts w:eastAsia="Times New Roman"/>
          <w:b/>
          <w:bCs/>
          <w:lang w:val="vi-VN"/>
        </w:rPr>
        <w:t>3. Cơ sở thực tiễn</w:t>
      </w:r>
    </w:p>
    <w:p w14:paraId="3D4618F1" w14:textId="6D363472" w:rsidR="002A003E" w:rsidRPr="00AE2195" w:rsidRDefault="002A003E" w:rsidP="002A003E">
      <w:pPr>
        <w:spacing w:before="60" w:line="276" w:lineRule="auto"/>
        <w:rPr>
          <w:rFonts w:eastAsia="Times New Roman"/>
          <w:lang w:val="vi-VN"/>
        </w:rPr>
      </w:pPr>
      <w:r w:rsidRPr="00AE2195">
        <w:rPr>
          <w:rFonts w:eastAsia="Times New Roman"/>
          <w:lang w:val="vi-VN"/>
        </w:rPr>
        <w:t>Qua hơn 1</w:t>
      </w:r>
      <w:r w:rsidR="00F419D1" w:rsidRPr="00AE2195">
        <w:rPr>
          <w:rFonts w:eastAsia="Times New Roman"/>
          <w:lang w:val="vi-VN"/>
        </w:rPr>
        <w:t>1</w:t>
      </w:r>
      <w:r w:rsidRPr="00AE2195">
        <w:rPr>
          <w:rFonts w:eastAsia="Times New Roman"/>
          <w:lang w:val="vi-VN"/>
        </w:rPr>
        <w:t xml:space="preserve"> năm thi hành Nghị định số 60/2014/NĐ-CP và các văn bản sửa đổi, bổ sung, hệ thống pháp luật về hoạt động in đã góp phần quan trọng trong việc hình thành khuôn khổ quản lý nhà nước đối với hoạt động in, bảo đảm điều kiện hoạt động của các cơ sở in, quản lý nhập khẩu thiết bị ngành in và xử lý các hành vi vi phạm. Tuy nhiên, trước yêu cầu phát triển mới của đất nước, quá trình chuyển đổi số, chuyển đổi xanh và hội nhập quốc tế ngày càng sâu rộng, nhiều quy định của Nghị định đã bộc lộ những hạn chế, bất cập cần được sửa đổi, bổ sung.</w:t>
      </w:r>
    </w:p>
    <w:p w14:paraId="453797B6" w14:textId="77777777" w:rsidR="002A003E" w:rsidRPr="00AE2195" w:rsidRDefault="002A003E" w:rsidP="002A003E">
      <w:pPr>
        <w:spacing w:before="60" w:line="276" w:lineRule="auto"/>
        <w:rPr>
          <w:rFonts w:eastAsia="Times New Roman"/>
          <w:lang w:val="vi-VN"/>
        </w:rPr>
      </w:pPr>
      <w:r w:rsidRPr="00AE2195">
        <w:t>Một là, phương thức quản lý hoạt động in hiện nay vẫn chủ yếu dựa trên hồ sơ hành chính và báo cáo truyền thống; chưa có Cơ sở dữ liệu về hoạt động in và hệ thống mã dữ liệu thống nhất đối với cơ sở in, thiết bị in để phục vụ quản lý, kết nối, chia sẻ dữ liệu và cung cấp dịch vụ công trực tuyến. Điều này dẫn đến dữ liệu còn phân tán, thiếu tính liên thông, chưa đáp ứng yêu cầu chuyển đổi số và quản trị hiện đại.</w:t>
      </w:r>
    </w:p>
    <w:p w14:paraId="00C409DF" w14:textId="77777777" w:rsidR="002A003E" w:rsidRPr="00AE2195" w:rsidRDefault="002A003E" w:rsidP="002A003E">
      <w:pPr>
        <w:spacing w:before="60" w:line="276" w:lineRule="auto"/>
        <w:rPr>
          <w:rFonts w:eastAsia="Times New Roman"/>
          <w:lang w:val="vi-VN"/>
        </w:rPr>
      </w:pPr>
      <w:r w:rsidRPr="00AE2195">
        <w:rPr>
          <w:rFonts w:eastAsia="Times New Roman"/>
          <w:lang w:val="vi-VN"/>
        </w:rPr>
        <w:t xml:space="preserve">Hai là, một số thủ tục hành chính trong lĩnh vực in vẫn còn mang tính tiền kiểm, trong khi chưa áp dụng đầy đủ phương thức quản lý dựa trên mức độ rủi ro. </w:t>
      </w:r>
      <w:r w:rsidRPr="00AE2195">
        <w:rPr>
          <w:rFonts w:eastAsia="Times New Roman"/>
          <w:lang w:val="vi-VN"/>
        </w:rPr>
        <w:lastRenderedPageBreak/>
        <w:t>Việc thanh tra, kiểm tra chưa thực sự tập trung vào các cơ sở có nguy cơ vi phạm cao, làm giảm hiệu quả sử dụng nguồn lực quản lý nhà nước và chưa tạo thuận lợi tối đa cho các cơ sở in chấp hành tốt pháp luật.</w:t>
      </w:r>
    </w:p>
    <w:p w14:paraId="7BBB60F0" w14:textId="77777777" w:rsidR="002A003E" w:rsidRPr="00AE2195" w:rsidRDefault="002A003E" w:rsidP="002A003E">
      <w:pPr>
        <w:spacing w:before="60" w:line="276" w:lineRule="auto"/>
        <w:rPr>
          <w:rFonts w:eastAsia="Times New Roman"/>
          <w:lang w:val="vi-VN"/>
        </w:rPr>
      </w:pPr>
      <w:r w:rsidRPr="00AE2195">
        <w:rPr>
          <w:rFonts w:eastAsia="Times New Roman"/>
          <w:lang w:val="vi-VN"/>
        </w:rPr>
        <w:t>Ba là, Nghị định hiện hành chưa có quy định về phân loại rủi ro đối với cơ sở in và các nhóm sản phẩm in để làm căn cứ áp dụng các biện pháp quản lý phù hợp. Trong khi đó, thực tiễn cho thấy mức độ tác động và nguy cơ vi phạm của các loại sản phẩm in là rất khác nhau, đòi hỏi phải có cơ chế quản lý theo mức độ rủi ro nhằm nâng cao hiệu quả quản lý và giảm chi phí tuân thủ.</w:t>
      </w:r>
    </w:p>
    <w:p w14:paraId="5E82C87B" w14:textId="77777777" w:rsidR="002A003E" w:rsidRPr="00AE2195" w:rsidRDefault="002A003E" w:rsidP="002A003E">
      <w:pPr>
        <w:spacing w:before="60" w:line="276" w:lineRule="auto"/>
        <w:rPr>
          <w:rFonts w:eastAsia="Times New Roman"/>
          <w:lang w:val="vi-VN"/>
        </w:rPr>
      </w:pPr>
      <w:r w:rsidRPr="00AE2195">
        <w:t>Bốn là, tình trạng in lậu, in giả, xâm phạm quyền sở hữu trí tuệ và sản xuất các sản phẩm in vi phạm pháp luật vẫn còn diễn biến phức tạp. Trong khi đó, việc quản lý hiện hành chưa phân loại đầy đủ sản phẩm in theo mức độ rủi ro, chưa khai thác thống nhất dữ liệu về cơ sở in, thiết bị in và hồ sơ liên quan đến sản phẩm nhận in để phục vụ xác định chủ thể thực hiện, kiểm tra và xử lý vi phạm.</w:t>
      </w:r>
    </w:p>
    <w:p w14:paraId="5A51EE46" w14:textId="77777777" w:rsidR="002A003E" w:rsidRPr="00AE2195" w:rsidRDefault="002A003E" w:rsidP="002A003E">
      <w:pPr>
        <w:spacing w:before="60" w:line="276" w:lineRule="auto"/>
        <w:rPr>
          <w:rFonts w:eastAsia="Times New Roman"/>
          <w:lang w:val="vi-VN"/>
        </w:rPr>
      </w:pPr>
      <w:r w:rsidRPr="00AE2195">
        <w:rPr>
          <w:rFonts w:eastAsia="Times New Roman"/>
          <w:lang w:val="vi-VN"/>
        </w:rPr>
        <w:t>Năm là, yêu cầu phát triển ngành in theo hướng xanh, hiện đại và bền vững ngày càng trở nên cấp thiết. Tuy nhiên, Nghị định số 60/2014/NĐ-CP chưa có các chính sách thúc đẩy chuyển đổi xanh, ứng dụng công nghệ sạch, tiết kiệm năng lượng, giảm phát thải, sử dụng vật liệu thân thiện với môi trường và thực hiện kinh tế tuần hoàn trong hoạt động in, dẫn đến chưa phù hợp với các chủ trương, chiến lược phát triển bền vững của Đảng và Nhà nước.</w:t>
      </w:r>
    </w:p>
    <w:p w14:paraId="13BA43F1" w14:textId="7292938C" w:rsidR="00702F83" w:rsidRPr="00AE2195" w:rsidRDefault="002A003E" w:rsidP="002A003E">
      <w:pPr>
        <w:spacing w:before="60" w:line="276" w:lineRule="auto"/>
        <w:rPr>
          <w:rFonts w:eastAsia="Times New Roman"/>
          <w:lang w:val="vi-VN"/>
        </w:rPr>
      </w:pPr>
      <w:r w:rsidRPr="00AE2195">
        <w:rPr>
          <w:rFonts w:eastAsia="Times New Roman"/>
          <w:lang w:val="vi-VN"/>
        </w:rPr>
        <w:t>Sáu là, thực tiễn quản lý nhập khẩu thiết bị ngành in đã qua sử dụng cho thấy cần có cơ chế quản lý linh hoạt, khả thi, bảo đảm vừa kiểm soát chất lượng công nghệ, hiệu quả sử dụng và yêu cầu bảo vệ môi trường, vừa tạo điều kiện cho doanh nghiệp tiếp cận thiết bị phù hợp với nhu cầu sản xuất, kinh doanh. Vì vậy, cần hoàn thiện các quy định về quản lý thiết bị ngành in theo hướng hiện đại, minh bạch và phù hợp với thực tiễn phát triển của ngành</w:t>
      </w:r>
      <w:r w:rsidR="00702F83" w:rsidRPr="00AE2195">
        <w:rPr>
          <w:rFonts w:eastAsia="Times New Roman"/>
          <w:lang w:val="vi-VN"/>
        </w:rPr>
        <w:t>.</w:t>
      </w:r>
    </w:p>
    <w:p w14:paraId="7C336342" w14:textId="764BBBA7" w:rsidR="00F419D1" w:rsidRPr="00AE2195" w:rsidRDefault="00F419D1" w:rsidP="002A003E">
      <w:pPr>
        <w:spacing w:before="60" w:line="276" w:lineRule="auto"/>
        <w:rPr>
          <w:rFonts w:eastAsia="Times New Roman"/>
          <w:lang w:val="vi-VN"/>
        </w:rPr>
      </w:pPr>
      <w:r w:rsidRPr="00AE2195">
        <w:rPr>
          <w:rFonts w:eastAsia="Times New Roman"/>
          <w:lang w:val="vi-VN"/>
        </w:rPr>
        <w:t xml:space="preserve">Bảy là, </w:t>
      </w:r>
      <w:r w:rsidRPr="00AE2195">
        <w:rPr>
          <w:lang w:val="vi-VN"/>
        </w:rPr>
        <w:t>trong bối cảnh đất nước bước vào kỷ nguyên phát triển mới với yêu cầu đẩy mạnh chuyển đổi số, chuyển đổi xanh, ứng dụng trí tuệ nhân tạo và tham gia sâu vào chuỗi cung ứng toàn cầu, nguồn nhân lực ngành in bộc lộ nhiều hạn chế về trình độ công nghệ, kỹ năng quản trị và khả năng thích ứng với mô hình sản xuất hiện đại. Trong khi đó, pháp luật hiện hành chưa có cơ chế phát triển nguồn nhân lực, chưa xây dựng khung năng lực ngành in và chưa tạo sự gắn kết giữa Nhà nước, cơ sở đào tạo và doanh nghiệp. Đây là điểm nghẽn lớn làm giảm năng suất, năng lực đổi mới sáng tạo và sức cạnh tranh của ngành in trong giai đoạn phát triển mới.</w:t>
      </w:r>
    </w:p>
    <w:p w14:paraId="6BCD3F40" w14:textId="77777777" w:rsidR="00702F83" w:rsidRPr="00AE2195" w:rsidRDefault="00702F83" w:rsidP="005D1090">
      <w:pPr>
        <w:spacing w:before="60" w:line="276" w:lineRule="auto"/>
        <w:outlineLvl w:val="2"/>
        <w:rPr>
          <w:rFonts w:eastAsia="Times New Roman"/>
          <w:b/>
          <w:bCs/>
          <w:lang w:val="vi-VN"/>
        </w:rPr>
      </w:pPr>
      <w:r w:rsidRPr="00AE2195">
        <w:rPr>
          <w:rFonts w:eastAsia="Times New Roman"/>
          <w:b/>
          <w:bCs/>
          <w:lang w:val="vi-VN"/>
        </w:rPr>
        <w:t>4. Những điểm nghẽn lớn trong quản lý hoạt động in</w:t>
      </w:r>
    </w:p>
    <w:p w14:paraId="738D22CC" w14:textId="78FD8168" w:rsidR="002A003E" w:rsidRPr="00AE2195" w:rsidRDefault="002A003E" w:rsidP="002A003E">
      <w:pPr>
        <w:spacing w:before="60" w:line="276" w:lineRule="auto"/>
        <w:rPr>
          <w:rFonts w:eastAsia="Times New Roman"/>
          <w:lang w:val="vi-VN"/>
        </w:rPr>
      </w:pPr>
      <w:r w:rsidRPr="00AE2195">
        <w:rPr>
          <w:rFonts w:eastAsia="Times New Roman"/>
          <w:lang w:val="vi-VN"/>
        </w:rPr>
        <w:lastRenderedPageBreak/>
        <w:t xml:space="preserve">Bên cạnh các tồn tại nêu trên, thực tiễn cho thấy hoạt động in hiện nay đang gặp phải một số điểm nghẽn </w:t>
      </w:r>
      <w:r w:rsidR="001177F2" w:rsidRPr="00AE2195">
        <w:rPr>
          <w:rFonts w:eastAsia="Times New Roman"/>
          <w:lang w:val="vi-VN"/>
        </w:rPr>
        <w:t xml:space="preserve">mà trong Nghị định 60/2014/NĐ-CP chưa quy định </w:t>
      </w:r>
      <w:r w:rsidRPr="00AE2195">
        <w:rPr>
          <w:rFonts w:eastAsia="Times New Roman"/>
          <w:lang w:val="vi-VN"/>
        </w:rPr>
        <w:t xml:space="preserve">cần được tháo gỡ </w:t>
      </w:r>
      <w:r w:rsidR="001177F2" w:rsidRPr="00AE2195">
        <w:rPr>
          <w:rFonts w:eastAsia="Times New Roman"/>
          <w:lang w:val="vi-VN"/>
        </w:rPr>
        <w:t xml:space="preserve">và bổ sung quy định </w:t>
      </w:r>
      <w:r w:rsidRPr="00AE2195">
        <w:rPr>
          <w:rFonts w:eastAsia="Times New Roman"/>
          <w:lang w:val="vi-VN"/>
        </w:rPr>
        <w:t>để đáp ứng yêu cầu phát triển trong giai đoạn mới.</w:t>
      </w:r>
    </w:p>
    <w:p w14:paraId="087CEA85" w14:textId="77777777" w:rsidR="002A003E" w:rsidRPr="00AE2195" w:rsidRDefault="002A003E" w:rsidP="002A003E">
      <w:pPr>
        <w:spacing w:before="60" w:line="276" w:lineRule="auto"/>
        <w:rPr>
          <w:rFonts w:eastAsia="Times New Roman"/>
          <w:lang w:val="vi-VN"/>
        </w:rPr>
      </w:pPr>
      <w:r w:rsidRPr="00AE2195">
        <w:t>Thứ nhất, phương thức quản lý hoạt động in vẫn chủ yếu dựa trên hồ sơ hành chính và các thủ tục truyền thống, chưa chuyển đổi đầy đủ sang mô hình quản lý số. Việc thiếu Cơ sở dữ liệu về hoạt động in và hệ thống mã dữ liệu thống nhất đối với cơ sở in, thiết bị in làm hạn chế khả năng kết nối, chia sẻ dữ liệu, theo dõi biến động và quản lý xuyên suốt quá trình hoạt động.</w:t>
      </w:r>
    </w:p>
    <w:p w14:paraId="3B3D9974" w14:textId="260BF6CF" w:rsidR="002A003E" w:rsidRPr="00AE2195" w:rsidRDefault="002A003E" w:rsidP="002A003E">
      <w:pPr>
        <w:spacing w:before="60" w:line="276" w:lineRule="auto"/>
        <w:rPr>
          <w:rFonts w:eastAsia="Times New Roman"/>
          <w:lang w:val="vi-VN"/>
        </w:rPr>
      </w:pPr>
      <w:r w:rsidRPr="00AE2195">
        <w:rPr>
          <w:rFonts w:eastAsia="Times New Roman"/>
          <w:lang w:val="vi-VN"/>
        </w:rPr>
        <w:t>Thứ hai, hoạt động quản lý nhà nước hiện vẫn được thực hiện chủ yếu theo phương thức quản lý đồng đều giữa các đối tượng, chưa áp dụng đầy đủ nguyên tắc quản lý dựa trên mức độ rủi ro. Điều này dẫn đến việc phân bổ nguồn lực kiểm tra chưa thực sự hiệu quả, chưa tập trung vào các cơ sở, sản phẩm hoặc lĩnh vực có nguy cơ vi phạm cao.</w:t>
      </w:r>
    </w:p>
    <w:p w14:paraId="4534C644" w14:textId="71DFFBE8" w:rsidR="002A003E" w:rsidRPr="00AE2195" w:rsidRDefault="002A003E" w:rsidP="002A003E">
      <w:pPr>
        <w:spacing w:before="60" w:line="276" w:lineRule="auto"/>
        <w:rPr>
          <w:rFonts w:eastAsia="Times New Roman"/>
          <w:lang w:val="vi-VN"/>
        </w:rPr>
      </w:pPr>
      <w:r w:rsidRPr="00AE2195">
        <w:t>Thứ ba, công tác phòng, chống in lậu, in giả còn gặp nhiều khó khăn do việc quản lý sản phẩm in chưa được tổ chức theo mức độ rủi ro và dữ liệu phục vụ xác định cơ sở thực hiện, thiết bị sử dụng, hồ sơ nhận in còn phân tán. Điều này ảnh hưởng đến khả năng phát hiện, xác minh và xử lý vi phạm trong hoạt động in.</w:t>
      </w:r>
    </w:p>
    <w:p w14:paraId="14A6F15A" w14:textId="57A3D826" w:rsidR="002A003E" w:rsidRPr="00AE2195" w:rsidRDefault="002A003E" w:rsidP="002A003E">
      <w:pPr>
        <w:spacing w:before="60" w:line="276" w:lineRule="auto"/>
        <w:rPr>
          <w:rFonts w:eastAsia="Times New Roman"/>
          <w:lang w:val="vi-VN"/>
        </w:rPr>
      </w:pPr>
      <w:r w:rsidRPr="00AE2195">
        <w:rPr>
          <w:rFonts w:eastAsia="Times New Roman"/>
          <w:lang w:val="vi-VN"/>
        </w:rPr>
        <w:t>Thứ tư, ngành in đang chịu áp lực ngày càng lớn từ yêu cầu chuyển đổi xanh, phát triển bền vững và các tiêu chuẩn môi trường trong chuỗi cung ứng toàn cầu. Tuy nhiên, khuôn khổ pháp lý hiện hành chưa tạo được động lực và cơ chế phù hợp để thúc đẩy doanh nghiệp đầu tư công nghệ sạch, tiết kiệm năng lượng, sử dụng vật liệu thân thiện môi trường và giảm phát thải trong quá trình sản xuất.</w:t>
      </w:r>
    </w:p>
    <w:p w14:paraId="43A8128E" w14:textId="1ABD7DDF" w:rsidR="008F0B82" w:rsidRPr="00AE2195" w:rsidRDefault="008F0B82" w:rsidP="002A003E">
      <w:pPr>
        <w:spacing w:before="60" w:line="276" w:lineRule="auto"/>
        <w:rPr>
          <w:rFonts w:eastAsia="Times New Roman"/>
          <w:lang w:val="vi-VN"/>
        </w:rPr>
      </w:pPr>
      <w:r w:rsidRPr="00AE2195">
        <w:rPr>
          <w:rFonts w:eastAsia="Times New Roman"/>
          <w:lang w:val="vi-VN"/>
        </w:rPr>
        <w:t xml:space="preserve">Thứ năm, </w:t>
      </w:r>
      <w:r w:rsidR="00F419D1" w:rsidRPr="00AE2195">
        <w:rPr>
          <w:lang w:val="vi-VN"/>
        </w:rPr>
        <w:t>pháp luật về hoạt động in chưa có chính sách riêng về phát triển nguồn nhân lực, chưa quy định khung năng lực ngành in làm căn cứ thống nhất cho đào tạo, đánh giá và sử dụng lao động. Hoạt động đào tạo chủ yếu mang tính tự phát, thiếu sự gắn kết giữa cơ quan quản lý, cơ sở đào tạo và doanh nghiệp; nội dung đào tạo chưa theo kịp yêu cầu chuyển đổi số, trí tuệ nhân tạo, chuyển đổi xanh và hội nhập quốc tế. Điều này dẫn đến tình trạng thiếu nguồn nhân lực chất lượng cao, hạn chế năng lực quản trị, đổi mới công nghệ và sức cạnh tranh của ngành in trong chuỗi cung ứng khu vực và toàn cầu.</w:t>
      </w:r>
    </w:p>
    <w:p w14:paraId="2AB22498" w14:textId="29E21B8C" w:rsidR="00702F83" w:rsidRPr="00AE2195" w:rsidRDefault="002A003E" w:rsidP="002A003E">
      <w:pPr>
        <w:spacing w:before="60" w:line="276" w:lineRule="auto"/>
        <w:rPr>
          <w:rFonts w:eastAsia="Times New Roman"/>
          <w:lang w:val="vi-VN"/>
        </w:rPr>
      </w:pPr>
      <w:r w:rsidRPr="00AE2195">
        <w:rPr>
          <w:rFonts w:eastAsia="Times New Roman"/>
          <w:lang w:val="vi-VN"/>
        </w:rPr>
        <w:t>Bản chất của các điểm nghẽn nêu trên không chỉ xuất phát từ từng quy định cụ thể mà chủ yếu bắt nguồn từ việc phương thức quản lý hoạt động in chưa được chuyển đổi theo hướng quản trị số, quản lý dựa trên dữ liệu và rủi ro, đồng thời chưa theo kịp yêu cầu chuyển đổi xanh và xu thế phát triển của ngành in trong bối cảnh hội nhập quốc tế sâu rộng.</w:t>
      </w:r>
    </w:p>
    <w:p w14:paraId="0F32A5A0" w14:textId="77777777" w:rsidR="00702F83" w:rsidRPr="00AE2195" w:rsidRDefault="00702F83" w:rsidP="005D1090">
      <w:pPr>
        <w:spacing w:before="60" w:line="276" w:lineRule="auto"/>
        <w:outlineLvl w:val="2"/>
        <w:rPr>
          <w:rFonts w:eastAsia="Times New Roman"/>
          <w:b/>
          <w:bCs/>
          <w:lang w:val="vi-VN"/>
        </w:rPr>
      </w:pPr>
      <w:r w:rsidRPr="00AE2195">
        <w:rPr>
          <w:rFonts w:eastAsia="Times New Roman"/>
          <w:b/>
          <w:bCs/>
          <w:lang w:val="vi-VN"/>
        </w:rPr>
        <w:lastRenderedPageBreak/>
        <w:t>5. Kết luận về sự cần thiết</w:t>
      </w:r>
    </w:p>
    <w:p w14:paraId="2508ACC4" w14:textId="77777777" w:rsidR="00702F83" w:rsidRPr="00AE2195" w:rsidRDefault="00702F83" w:rsidP="005D1090">
      <w:pPr>
        <w:spacing w:before="60" w:line="276" w:lineRule="auto"/>
        <w:rPr>
          <w:rFonts w:eastAsia="Times New Roman"/>
          <w:lang w:val="vi-VN"/>
        </w:rPr>
      </w:pPr>
      <w:r w:rsidRPr="00AE2195">
        <w:rPr>
          <w:rFonts w:eastAsia="Times New Roman"/>
          <w:lang w:val="vi-VN"/>
        </w:rPr>
        <w:t>Từ các cơ sở chính trị, pháp lý và thực tiễn nêu trên, việc ban hành Nghị định quy định về hoạt động in thay thế Nghị định số 60/2014/NĐ-CP và các văn bản sửa đổi, bổ sung là hết sức cần thiết nhằm hoàn thiện khuôn khổ pháp lý đồng bộ, hiện đại, khả thi; nâng cao hiệu lực, hiệu quả quản lý nhà nước; giảm chi phí tuân thủ; thúc đẩy chuyển đổi số, chuyển đổi xanh; phát triển ngành in theo hướng công nghiệp hiện đại, hội nhập; đồng thời tăng cường phòng, chống các hành vi vi phạm pháp luật trong hoạt động in.</w:t>
      </w:r>
    </w:p>
    <w:p w14:paraId="58D8932C" w14:textId="77777777" w:rsidR="00702F83" w:rsidRPr="00AE2195" w:rsidRDefault="00915CDE" w:rsidP="005D1090">
      <w:pPr>
        <w:spacing w:before="60" w:line="276" w:lineRule="auto"/>
        <w:outlineLvl w:val="1"/>
        <w:rPr>
          <w:rFonts w:eastAsia="Times New Roman"/>
          <w:b/>
          <w:bCs/>
          <w:lang w:val="vi-VN"/>
        </w:rPr>
      </w:pPr>
      <w:r w:rsidRPr="00AE2195">
        <w:rPr>
          <w:b/>
          <w:spacing w:val="-4"/>
          <w:lang w:val="vi-VN"/>
        </w:rPr>
        <w:t>II. MỤC ĐÍCH BAN HÀNH,</w:t>
      </w:r>
      <w:r w:rsidR="00702F83" w:rsidRPr="00AE2195">
        <w:rPr>
          <w:rFonts w:eastAsia="Times New Roman"/>
          <w:b/>
          <w:bCs/>
          <w:lang w:val="vi-VN"/>
        </w:rPr>
        <w:t xml:space="preserve"> QUAN ĐIỂM XÂY DỰNG NGHỊ ĐỊNH</w:t>
      </w:r>
      <w:r w:rsidRPr="00AE2195">
        <w:rPr>
          <w:rFonts w:eastAsia="Times New Roman"/>
          <w:b/>
          <w:bCs/>
          <w:lang w:val="vi-VN"/>
        </w:rPr>
        <w:t xml:space="preserve"> QUY ĐỊNH VỀ HOẠT ĐỘNG IN</w:t>
      </w:r>
    </w:p>
    <w:p w14:paraId="0792F321" w14:textId="77777777" w:rsidR="00915CDE" w:rsidRPr="00AE2195" w:rsidRDefault="00915CDE" w:rsidP="005D1090">
      <w:pPr>
        <w:pStyle w:val="ListParagraph"/>
        <w:tabs>
          <w:tab w:val="left" w:pos="851"/>
        </w:tabs>
        <w:spacing w:before="60" w:line="276" w:lineRule="auto"/>
        <w:jc w:val="both"/>
        <w:rPr>
          <w:rFonts w:ascii="Times New Roman" w:hAnsi="Times New Roman" w:cs="Times New Roman"/>
          <w:b/>
          <w:sz w:val="28"/>
          <w:szCs w:val="28"/>
          <w:lang w:val="vi-VN"/>
        </w:rPr>
      </w:pPr>
      <w:r w:rsidRPr="00AE2195">
        <w:rPr>
          <w:rFonts w:ascii="Times New Roman" w:hAnsi="Times New Roman" w:cs="Times New Roman"/>
          <w:b/>
          <w:sz w:val="28"/>
          <w:szCs w:val="28"/>
          <w:lang w:val="vi-VN"/>
        </w:rPr>
        <w:t>1. Mục đích ban hành văn bản</w:t>
      </w:r>
    </w:p>
    <w:p w14:paraId="2B85DAEF" w14:textId="77777777" w:rsidR="00915CDE" w:rsidRPr="00AE2195" w:rsidRDefault="00915CDE" w:rsidP="005D1090">
      <w:pPr>
        <w:spacing w:before="60" w:line="276" w:lineRule="auto"/>
        <w:rPr>
          <w:rFonts w:eastAsia="Times New Roman"/>
          <w:lang w:val="vi-VN"/>
        </w:rPr>
      </w:pPr>
      <w:r w:rsidRPr="00AE2195">
        <w:rPr>
          <w:rFonts w:eastAsia="Times New Roman"/>
          <w:lang w:val="vi-VN"/>
        </w:rPr>
        <w:t>Việc ban hành Nghị định nhằm đạt được các mục đích chủ yếu sau:</w:t>
      </w:r>
    </w:p>
    <w:p w14:paraId="492CC12A" w14:textId="77777777" w:rsidR="00915CDE" w:rsidRPr="00AE2195" w:rsidRDefault="00915CDE" w:rsidP="005D1090">
      <w:pPr>
        <w:spacing w:before="60" w:line="276" w:lineRule="auto"/>
        <w:rPr>
          <w:rFonts w:eastAsia="Times New Roman"/>
          <w:lang w:val="vi-VN"/>
        </w:rPr>
      </w:pPr>
      <w:r w:rsidRPr="00AE2195">
        <w:rPr>
          <w:rFonts w:eastAsia="Times New Roman"/>
          <w:lang w:val="vi-VN"/>
        </w:rPr>
        <w:t>Một là, hoàn thiện khuôn khổ pháp lý về hoạt động in theo hướng đồng bộ, thống nhất, phù hợp với hệ thống pháp luật hiện hành và đáp ứng yêu cầu quản lý trong giai đoạn mới.</w:t>
      </w:r>
    </w:p>
    <w:p w14:paraId="54FB46E4" w14:textId="77777777" w:rsidR="00915CDE" w:rsidRPr="00AE2195" w:rsidRDefault="00915CDE" w:rsidP="005D1090">
      <w:pPr>
        <w:spacing w:before="60" w:line="276" w:lineRule="auto"/>
        <w:rPr>
          <w:rFonts w:eastAsia="Times New Roman"/>
          <w:lang w:val="vi-VN"/>
        </w:rPr>
      </w:pPr>
      <w:r w:rsidRPr="00AE2195">
        <w:rPr>
          <w:rFonts w:eastAsia="Times New Roman"/>
          <w:lang w:val="vi-VN"/>
        </w:rPr>
        <w:t>Hai là, đổi mới phương thức quản lý nhà nước theo hướng giảm tiền kiểm, tăng cường hậu kiểm, đơn giản hóa thủ tục hành chính, tạo môi trường thuận lợi, minh bạch cho tổ chức, cá nhân tham gia hoạt động in.</w:t>
      </w:r>
    </w:p>
    <w:p w14:paraId="46DB827A" w14:textId="77777777" w:rsidR="00915CDE" w:rsidRPr="00AE2195" w:rsidRDefault="00915CDE" w:rsidP="005D1090">
      <w:pPr>
        <w:spacing w:before="60" w:line="276" w:lineRule="auto"/>
        <w:rPr>
          <w:rFonts w:eastAsia="Times New Roman"/>
          <w:lang w:val="vi-VN"/>
        </w:rPr>
      </w:pPr>
      <w:r w:rsidRPr="00AE2195">
        <w:rPr>
          <w:rFonts w:eastAsia="Times New Roman"/>
          <w:lang w:val="vi-VN"/>
        </w:rPr>
        <w:t>Ba là, thúc đẩy phát triển ngành in theo hướng hiện đại, ứng dụng công nghệ cao, chuyển đổi số, nâng cao năng suất, chất lượng và năng lực cạnh tranh, đồng thời gắn với yêu cầu bảo vệ môi trường và phát triển bền vững.</w:t>
      </w:r>
    </w:p>
    <w:p w14:paraId="6E296081" w14:textId="77777777" w:rsidR="00915CDE" w:rsidRPr="00AE2195" w:rsidRDefault="00915CDE" w:rsidP="005D1090">
      <w:pPr>
        <w:spacing w:before="60" w:line="276" w:lineRule="auto"/>
        <w:rPr>
          <w:rFonts w:eastAsia="Times New Roman"/>
          <w:lang w:val="vi-VN"/>
        </w:rPr>
      </w:pPr>
      <w:r w:rsidRPr="00AE2195">
        <w:rPr>
          <w:rFonts w:eastAsia="Times New Roman"/>
          <w:lang w:val="vi-VN"/>
        </w:rPr>
        <w:t>Bốn là, tăng cường hiệu quả kiểm soát nội dung, phòng, chống các hành vi vi phạm pháp luật trong hoạt động in, bảo đảm an ninh quốc gia, trật tự an toàn xã hội và quyền, lợi ích hợp pháp của tổ chức, cá nhân.</w:t>
      </w:r>
    </w:p>
    <w:p w14:paraId="44681B11" w14:textId="77777777" w:rsidR="00915CDE" w:rsidRPr="00AE2195" w:rsidRDefault="00915CDE" w:rsidP="005D1090">
      <w:pPr>
        <w:spacing w:before="60" w:line="276" w:lineRule="auto"/>
        <w:rPr>
          <w:rFonts w:eastAsia="Times New Roman"/>
          <w:lang w:val="vi-VN"/>
        </w:rPr>
      </w:pPr>
      <w:r w:rsidRPr="00AE2195">
        <w:t>Năm là, xây dựng nền tảng quản lý số đối với ngành in thông qua Cơ sở dữ liệu về hoạt động in, mã dữ liệu cơ sở in và mã dữ liệu thiết bị in, phục vụ công tác quản lý, điều hành, thanh tra, kiểm tra và hoạch định chính sách.</w:t>
      </w:r>
    </w:p>
    <w:p w14:paraId="68E32BB9" w14:textId="77777777" w:rsidR="00915CDE" w:rsidRPr="00AE2195" w:rsidRDefault="00915CDE" w:rsidP="005D1090">
      <w:pPr>
        <w:spacing w:before="60" w:line="276" w:lineRule="auto"/>
        <w:rPr>
          <w:rFonts w:eastAsia="Times New Roman"/>
          <w:lang w:val="vi-VN"/>
        </w:rPr>
      </w:pPr>
      <w:r w:rsidRPr="00AE2195">
        <w:rPr>
          <w:b/>
          <w:lang w:val="es-MX" w:eastAsia="ar-SA"/>
        </w:rPr>
        <w:t>2. Quan điểm xây dựng dự thảo Nghị định quy định về hoạt động in</w:t>
      </w:r>
    </w:p>
    <w:p w14:paraId="6E113C29" w14:textId="77777777" w:rsidR="00702F83" w:rsidRPr="00AE2195" w:rsidRDefault="00702F83" w:rsidP="005D1090">
      <w:pPr>
        <w:spacing w:before="60" w:line="276" w:lineRule="auto"/>
        <w:rPr>
          <w:rFonts w:eastAsia="Times New Roman"/>
          <w:lang w:val="vi-VN"/>
        </w:rPr>
      </w:pPr>
      <w:r w:rsidRPr="00AE2195">
        <w:rPr>
          <w:rFonts w:eastAsia="Times New Roman"/>
          <w:lang w:val="vi-VN"/>
        </w:rPr>
        <w:t>Việc xây dựng Nghị định được quán triệt theo các quan điểm sau:</w:t>
      </w:r>
    </w:p>
    <w:p w14:paraId="263DD693" w14:textId="77777777" w:rsidR="00915CDE" w:rsidRPr="00AE2195" w:rsidRDefault="00915CDE" w:rsidP="005D1090">
      <w:pPr>
        <w:spacing w:before="60" w:line="276" w:lineRule="auto"/>
        <w:rPr>
          <w:rFonts w:eastAsia="Times New Roman"/>
          <w:lang w:val="vi-VN"/>
        </w:rPr>
      </w:pPr>
      <w:r w:rsidRPr="00AE2195">
        <w:rPr>
          <w:rFonts w:eastAsia="Times New Roman"/>
          <w:lang w:val="vi-VN"/>
        </w:rPr>
        <w:t>Thứ nhất, bảo đảm phù hợp với chủ trương, đường lối của Đảng, chính sách, pháp luật của Nhà nước về cải cách hành chính, phát triển kinh tế số, chuyển đổi số quốc gia và hội nhập quốc tế; đồng thời kế thừa những quy định còn phù hợp của Nghị định hiện hành.</w:t>
      </w:r>
    </w:p>
    <w:p w14:paraId="2D5D8B9D" w14:textId="77777777" w:rsidR="00702F83" w:rsidRPr="00AE2195" w:rsidRDefault="00702F83" w:rsidP="005D1090">
      <w:pPr>
        <w:spacing w:before="60" w:line="276" w:lineRule="auto"/>
        <w:rPr>
          <w:rFonts w:eastAsia="Times New Roman"/>
          <w:lang w:val="vi-VN"/>
        </w:rPr>
      </w:pPr>
      <w:r w:rsidRPr="00AE2195">
        <w:lastRenderedPageBreak/>
        <w:t>Thứ hai, chuyển đổi căn bản phương thức quản lý nhà nước trong hoạt động in theo hướng hiện đại, lấy dữ liệu làm nền tảng, quản lý rủi ro làm công cụ chủ đạo, thay thế dần phương thức quản lý truyền thống dựa trên hồ sơ hành chính và tiền kiểm; bảo đảm minh bạch, có khả năng theo dõi, phân tích và dự báo.</w:t>
      </w:r>
    </w:p>
    <w:p w14:paraId="78C1C113" w14:textId="77777777" w:rsidR="00702F83" w:rsidRPr="00AE2195" w:rsidRDefault="00915CDE" w:rsidP="005D1090">
      <w:pPr>
        <w:spacing w:before="60" w:line="276" w:lineRule="auto"/>
        <w:rPr>
          <w:rFonts w:eastAsia="Times New Roman"/>
          <w:lang w:val="vi-VN"/>
        </w:rPr>
      </w:pPr>
      <w:r w:rsidRPr="00AE2195">
        <w:rPr>
          <w:rFonts w:eastAsia="Times New Roman"/>
          <w:lang w:val="vi-VN"/>
        </w:rPr>
        <w:t>Thứ ba</w:t>
      </w:r>
      <w:r w:rsidR="00702F83" w:rsidRPr="00AE2195">
        <w:rPr>
          <w:rFonts w:eastAsia="Times New Roman"/>
          <w:lang w:val="vi-VN"/>
        </w:rPr>
        <w:t>, đẩy mạnh cải cách thể chế, đơn giản hóa điều kiện kinh doanh và thủ tục hành chính, tạo thuận lợi tối đa cho doanh nghiệp gia nhập và hoạt động trên thị trường, đồng thời chuyển mạnh sang hậu kiểm; việc phân cấp, phân quyền phải đi đôi với tăng cường trách nhiệm giải trình và cơ chế giám sát hiệu quả.</w:t>
      </w:r>
    </w:p>
    <w:p w14:paraId="3C18FB33" w14:textId="44F07420" w:rsidR="00702F83" w:rsidRPr="00AE2195" w:rsidRDefault="00915CDE" w:rsidP="005D1090">
      <w:pPr>
        <w:spacing w:before="60" w:line="276" w:lineRule="auto"/>
        <w:rPr>
          <w:rFonts w:eastAsia="Times New Roman"/>
          <w:lang w:val="vi-VN"/>
        </w:rPr>
      </w:pPr>
      <w:r w:rsidRPr="00AE2195">
        <w:rPr>
          <w:rFonts w:eastAsia="Times New Roman"/>
          <w:lang w:val="vi-VN"/>
        </w:rPr>
        <w:t>Thứ tư</w:t>
      </w:r>
      <w:r w:rsidR="00702F83" w:rsidRPr="00AE2195">
        <w:rPr>
          <w:rFonts w:eastAsia="Times New Roman"/>
          <w:lang w:val="vi-VN"/>
        </w:rPr>
        <w:t xml:space="preserve">, phát triển ngành in theo hướng công nghiệp hiện đại, ứng dụng công nghệ tiên tiến, quản trị số, tự động hóa, gắn với chuyển đổi xanh, sử dụng hiệu quả tài nguyên, giảm phát thải và </w:t>
      </w:r>
      <w:r w:rsidR="008F0B82" w:rsidRPr="00AE2195">
        <w:rPr>
          <w:lang w:val="vi-VN"/>
        </w:rPr>
        <w:t xml:space="preserve">triển nguồn nhân lực ngành in, </w:t>
      </w:r>
      <w:r w:rsidR="00702F83" w:rsidRPr="00AE2195">
        <w:rPr>
          <w:rFonts w:eastAsia="Times New Roman"/>
          <w:lang w:val="vi-VN"/>
        </w:rPr>
        <w:t>nâng cao năng lực hội nhập quốc tế.</w:t>
      </w:r>
    </w:p>
    <w:p w14:paraId="2569B2C3" w14:textId="77777777" w:rsidR="00702F83" w:rsidRPr="00AE2195" w:rsidRDefault="00915CDE" w:rsidP="005D1090">
      <w:pPr>
        <w:spacing w:before="60" w:line="276" w:lineRule="auto"/>
        <w:rPr>
          <w:rFonts w:eastAsia="Times New Roman"/>
          <w:lang w:val="vi-VN"/>
        </w:rPr>
      </w:pPr>
      <w:r w:rsidRPr="00AE2195">
        <w:rPr>
          <w:rFonts w:eastAsia="Times New Roman"/>
          <w:lang w:val="vi-VN"/>
        </w:rPr>
        <w:t>Thứ năm</w:t>
      </w:r>
      <w:r w:rsidR="00702F83" w:rsidRPr="00AE2195">
        <w:rPr>
          <w:rFonts w:eastAsia="Times New Roman"/>
          <w:lang w:val="vi-VN"/>
        </w:rPr>
        <w:t xml:space="preserve">, </w:t>
      </w:r>
      <w:r w:rsidRPr="00AE2195">
        <w:rPr>
          <w:rFonts w:eastAsia="Times New Roman"/>
          <w:lang w:val="vi-VN"/>
        </w:rPr>
        <w:t xml:space="preserve">kết hợp hài hòa giữa mục tiêu phát triển và yêu cầu quản lý. Nghị định vừa phải tạo động lực thúc đẩy ngành in phát triển, vừa phải bảo đảm kiểm soát chặt chẽ các nội dung có nguy cơ ảnh hưởng đến an ninh, trật tự, </w:t>
      </w:r>
      <w:r w:rsidR="00702F83" w:rsidRPr="00AE2195">
        <w:rPr>
          <w:rFonts w:eastAsia="Times New Roman"/>
          <w:lang w:val="vi-VN"/>
        </w:rPr>
        <w:t>đặc biệt trong kiểm soát công nghệ, thiết bị và phòng, chống in lậu, lợi dụng hoạt động in để sản xuất hàng giả, vi phạm quyền sở hữu trí tuệ và các hành vi vi phạm pháp luật khác; chuyển từ kiểm tra dàn trải sang kiểm soát có trọng tâm, trọng điểm, dựa trên phân tích rủi ro và dữ liệu.</w:t>
      </w:r>
    </w:p>
    <w:p w14:paraId="62FBB782" w14:textId="77777777" w:rsidR="00702F83" w:rsidRPr="00AE2195" w:rsidRDefault="00915CDE" w:rsidP="005D1090">
      <w:pPr>
        <w:spacing w:before="60" w:line="276" w:lineRule="auto"/>
        <w:rPr>
          <w:rFonts w:eastAsia="Times New Roman"/>
          <w:lang w:val="vi-VN"/>
        </w:rPr>
      </w:pPr>
      <w:r w:rsidRPr="00AE2195">
        <w:rPr>
          <w:rFonts w:eastAsia="Times New Roman"/>
          <w:lang w:val="vi-VN"/>
        </w:rPr>
        <w:t>Thứ sáu</w:t>
      </w:r>
      <w:r w:rsidR="00702F83" w:rsidRPr="00AE2195">
        <w:rPr>
          <w:rFonts w:eastAsia="Times New Roman"/>
          <w:lang w:val="vi-VN"/>
        </w:rPr>
        <w:t>, bảo đảm tính đồng bộ, thống nhất của hệ thống pháp luật, phù hợp với điều kiện thực tiễn Việt Nam, có lộ trình triển khai khả thi, không gây xáo trộn lớn đối với doanh nghiệp và cơ quan quản lý, đồng thời tạo dư địa cho đổi mới sáng tạo và phát triển dài hạn.</w:t>
      </w:r>
    </w:p>
    <w:p w14:paraId="6DBBD9CE" w14:textId="3509D2AE" w:rsidR="009C6834" w:rsidRPr="00AE2195" w:rsidRDefault="009C6834" w:rsidP="005D1090">
      <w:pPr>
        <w:spacing w:before="60" w:line="276" w:lineRule="auto"/>
        <w:outlineLvl w:val="1"/>
        <w:rPr>
          <w:rFonts w:eastAsia="Times New Roman"/>
          <w:b/>
          <w:bCs/>
          <w:lang w:val="vi-VN"/>
        </w:rPr>
      </w:pPr>
      <w:r w:rsidRPr="00AE2195">
        <w:rPr>
          <w:b/>
          <w:lang w:val="vi-VN"/>
        </w:rPr>
        <w:t>III. QUÁ TRÌNH XÂY DỰNG DỰ</w:t>
      </w:r>
      <w:r w:rsidR="005D1090" w:rsidRPr="00AE2195">
        <w:rPr>
          <w:b/>
          <w:lang w:val="vi-VN"/>
        </w:rPr>
        <w:t xml:space="preserve"> THẢO</w:t>
      </w:r>
      <w:r w:rsidRPr="00AE2195">
        <w:rPr>
          <w:b/>
          <w:lang w:val="vi-VN"/>
        </w:rPr>
        <w:t xml:space="preserve"> NGHỊ ĐỊNH QU</w:t>
      </w:r>
      <w:r w:rsidR="003C2E03" w:rsidRPr="00AE2195">
        <w:rPr>
          <w:b/>
          <w:lang w:val="vi-VN"/>
        </w:rPr>
        <w:t>Y</w:t>
      </w:r>
      <w:r w:rsidRPr="00AE2195">
        <w:rPr>
          <w:b/>
          <w:lang w:val="vi-VN"/>
        </w:rPr>
        <w:t xml:space="preserve"> ĐỊNH VỀ HOẠT ĐỘNG IN</w:t>
      </w:r>
    </w:p>
    <w:p w14:paraId="38B0636A" w14:textId="210E2EAE" w:rsidR="00541FAF" w:rsidRPr="00AE2195" w:rsidRDefault="00541FAF" w:rsidP="00541FAF">
      <w:pPr>
        <w:pStyle w:val="NormalWeb"/>
        <w:spacing w:before="120" w:beforeAutospacing="0" w:after="0" w:afterAutospacing="0"/>
        <w:ind w:firstLine="720"/>
        <w:jc w:val="both"/>
        <w:rPr>
          <w:sz w:val="28"/>
          <w:szCs w:val="28"/>
          <w:lang w:val="vi-VN"/>
        </w:rPr>
      </w:pPr>
      <w:r w:rsidRPr="00AE2195">
        <w:rPr>
          <w:sz w:val="28"/>
          <w:szCs w:val="28"/>
          <w:lang w:val="vi-VN"/>
        </w:rPr>
        <w:t>Trong quá trình xây dựng Nghị định, cơ quan chủ trì soạn thảo đã tổ chức thực hiện các công việc như sau:</w:t>
      </w:r>
    </w:p>
    <w:p w14:paraId="61E2B897" w14:textId="7220C1F4" w:rsidR="00541FAF" w:rsidRPr="00AE2195" w:rsidRDefault="00541FAF" w:rsidP="00541FAF">
      <w:pPr>
        <w:pStyle w:val="NormalWeb"/>
        <w:spacing w:before="120" w:beforeAutospacing="0" w:after="0" w:afterAutospacing="0"/>
        <w:ind w:firstLine="720"/>
        <w:jc w:val="both"/>
        <w:rPr>
          <w:sz w:val="28"/>
          <w:szCs w:val="28"/>
          <w:lang w:val="vi-VN"/>
        </w:rPr>
      </w:pPr>
      <w:r w:rsidRPr="00AE2195">
        <w:rPr>
          <w:rStyle w:val="Strong"/>
          <w:sz w:val="28"/>
          <w:szCs w:val="28"/>
          <w:lang w:val="vi-VN"/>
        </w:rPr>
        <w:t xml:space="preserve">1. Rà soát, tổng kết đánh giá việc thi hành </w:t>
      </w:r>
      <w:r w:rsidRPr="00AE2195">
        <w:rPr>
          <w:rFonts w:eastAsia="Calibri"/>
          <w:b/>
          <w:bCs/>
          <w:iCs/>
          <w:spacing w:val="-2"/>
          <w:sz w:val="28"/>
          <w:szCs w:val="28"/>
          <w:lang w:val="nl-NL"/>
        </w:rPr>
        <w:t>Nghị định số 60/2014/NĐ-CР</w:t>
      </w:r>
      <w:r w:rsidR="00B618B9" w:rsidRPr="00AE2195">
        <w:rPr>
          <w:rFonts w:eastAsia="Calibri"/>
          <w:b/>
          <w:bCs/>
          <w:iCs/>
          <w:spacing w:val="-2"/>
          <w:sz w:val="28"/>
          <w:szCs w:val="28"/>
          <w:lang w:val="nl-NL"/>
        </w:rPr>
        <w:t>, Nghị định số 25/2018/NĐ-CP và Nghị định số 72/2022/NĐ-CP</w:t>
      </w:r>
      <w:r w:rsidRPr="00AE2195">
        <w:rPr>
          <w:sz w:val="28"/>
          <w:szCs w:val="28"/>
          <w:lang w:val="vi-VN"/>
        </w:rPr>
        <w:t xml:space="preserve"> trên phạm vi cả nước, tổng hợp ý kiến của các bộ, ngành, địa phương, cơ sở in,</w:t>
      </w:r>
      <w:r w:rsidR="00B618B9" w:rsidRPr="00AE2195">
        <w:rPr>
          <w:sz w:val="28"/>
          <w:szCs w:val="28"/>
          <w:lang w:val="vi-VN"/>
        </w:rPr>
        <w:t xml:space="preserve"> cơ sở nhập khẩu</w:t>
      </w:r>
      <w:r w:rsidRPr="00AE2195">
        <w:rPr>
          <w:sz w:val="28"/>
          <w:szCs w:val="28"/>
          <w:lang w:val="vi-VN"/>
        </w:rPr>
        <w:t xml:space="preserve"> các tổ chức, cá nhân có liên quan. Hoàn thành Báo cáo tổng kết 1</w:t>
      </w:r>
      <w:r w:rsidR="00B618B9" w:rsidRPr="00AE2195">
        <w:rPr>
          <w:sz w:val="28"/>
          <w:szCs w:val="28"/>
          <w:lang w:val="vi-VN"/>
        </w:rPr>
        <w:t>1</w:t>
      </w:r>
      <w:r w:rsidRPr="00AE2195">
        <w:rPr>
          <w:sz w:val="28"/>
          <w:szCs w:val="28"/>
          <w:lang w:val="vi-VN"/>
        </w:rPr>
        <w:t xml:space="preserve"> năm thi hành </w:t>
      </w:r>
      <w:r w:rsidR="00B618B9" w:rsidRPr="00AE2195">
        <w:rPr>
          <w:rFonts w:eastAsia="Calibri"/>
          <w:iCs/>
          <w:spacing w:val="-2"/>
          <w:sz w:val="28"/>
          <w:szCs w:val="28"/>
          <w:lang w:val="nl-NL"/>
        </w:rPr>
        <w:t>Nghị định số 60/2014/NĐ-CР, Nghị định số 25/2018/NĐ-CP và Nghị định số 72/2022/NĐ-CP</w:t>
      </w:r>
      <w:r w:rsidR="00B618B9" w:rsidRPr="00AE2195">
        <w:rPr>
          <w:rStyle w:val="FootnoteReference"/>
          <w:rFonts w:eastAsia="Calibri"/>
          <w:iCs/>
          <w:spacing w:val="-2"/>
          <w:sz w:val="28"/>
          <w:szCs w:val="28"/>
          <w:lang w:val="nl-NL"/>
        </w:rPr>
        <w:footnoteReference w:id="1"/>
      </w:r>
      <w:r w:rsidR="00B618B9" w:rsidRPr="00AE2195">
        <w:rPr>
          <w:rFonts w:eastAsia="Calibri"/>
          <w:iCs/>
          <w:spacing w:val="-2"/>
          <w:sz w:val="28"/>
          <w:szCs w:val="28"/>
          <w:lang w:val="nl-NL"/>
        </w:rPr>
        <w:t>.</w:t>
      </w:r>
    </w:p>
    <w:p w14:paraId="51D065F3" w14:textId="77777777" w:rsidR="00541FAF" w:rsidRPr="00AE2195" w:rsidRDefault="00541FAF" w:rsidP="00541FAF">
      <w:pPr>
        <w:pStyle w:val="NormalWeb"/>
        <w:spacing w:before="120" w:beforeAutospacing="0" w:after="0" w:afterAutospacing="0"/>
        <w:ind w:firstLine="720"/>
        <w:jc w:val="both"/>
        <w:rPr>
          <w:sz w:val="28"/>
          <w:szCs w:val="28"/>
          <w:lang w:val="vi-VN"/>
        </w:rPr>
      </w:pPr>
      <w:r w:rsidRPr="00AE2195">
        <w:rPr>
          <w:b/>
          <w:sz w:val="28"/>
          <w:szCs w:val="28"/>
        </w:rPr>
        <w:lastRenderedPageBreak/>
        <w:t>2. Tổ chức nghiên cứu, tham khảo kinh nghiệm trong nước và quốc tế về quản lý hoạt động in.</w:t>
      </w:r>
    </w:p>
    <w:p w14:paraId="42E40719" w14:textId="77777777" w:rsidR="00541FAF" w:rsidRPr="00AE2195" w:rsidRDefault="00541FAF" w:rsidP="00541FAF">
      <w:pPr>
        <w:pStyle w:val="NormalWeb"/>
        <w:spacing w:before="120" w:beforeAutospacing="0" w:after="0" w:afterAutospacing="0"/>
        <w:ind w:firstLine="720"/>
        <w:jc w:val="both"/>
        <w:rPr>
          <w:sz w:val="28"/>
          <w:szCs w:val="28"/>
          <w:lang w:val="vi-VN"/>
        </w:rPr>
      </w:pPr>
      <w:r w:rsidRPr="00AE2195">
        <w:rPr>
          <w:rStyle w:val="Strong"/>
          <w:sz w:val="28"/>
          <w:szCs w:val="28"/>
          <w:lang w:val="vi-VN"/>
        </w:rPr>
        <w:t>3. Tổ chức các hội nghị, hội thảo, tọa đàm, khảo sát chuyên đề</w:t>
      </w:r>
      <w:r w:rsidRPr="00AE2195">
        <w:rPr>
          <w:sz w:val="28"/>
          <w:szCs w:val="28"/>
          <w:lang w:val="vi-VN"/>
        </w:rPr>
        <w:t xml:space="preserve"> với sự tham gia của các bộ, ngành, cơ quan chuyên môn, địa phương, doanh nghiệp và các chuyên gia, nhà nghiên cứu trong lĩnh vực xuất bản, in, phát hành và pháp luật. Các nội dung được trao đổi, góp ý tập trung vào những điểm còn bất cập trong thực tiễn thi hành và phương án sửa đổi, bổ sung cụ thể.</w:t>
      </w:r>
      <w:r w:rsidRPr="00AE2195">
        <w:rPr>
          <w:rStyle w:val="FootnoteReference"/>
          <w:sz w:val="28"/>
          <w:szCs w:val="28"/>
        </w:rPr>
        <w:footnoteReference w:id="2"/>
      </w:r>
    </w:p>
    <w:p w14:paraId="40F13288" w14:textId="0E0455E7" w:rsidR="00541FAF" w:rsidRPr="00AE2195" w:rsidRDefault="00541FAF" w:rsidP="00541FAF">
      <w:pPr>
        <w:pStyle w:val="NormalWeb"/>
        <w:spacing w:before="120" w:beforeAutospacing="0" w:after="0" w:afterAutospacing="0"/>
        <w:ind w:firstLine="720"/>
        <w:jc w:val="both"/>
        <w:rPr>
          <w:sz w:val="28"/>
          <w:szCs w:val="28"/>
          <w:lang w:val="vi-VN"/>
        </w:rPr>
      </w:pPr>
      <w:r w:rsidRPr="00AE2195">
        <w:rPr>
          <w:rStyle w:val="Strong"/>
          <w:sz w:val="28"/>
          <w:szCs w:val="28"/>
          <w:lang w:val="vi-VN"/>
        </w:rPr>
        <w:t>4. Lấy ý kiến góp ý bằng văn bản</w:t>
      </w:r>
      <w:r w:rsidRPr="00AE2195">
        <w:rPr>
          <w:sz w:val="28"/>
          <w:szCs w:val="28"/>
          <w:lang w:val="vi-VN"/>
        </w:rPr>
        <w:t xml:space="preserve"> đối với dự thảo </w:t>
      </w:r>
      <w:r w:rsidR="00B618B9" w:rsidRPr="00AE2195">
        <w:rPr>
          <w:sz w:val="28"/>
          <w:szCs w:val="28"/>
          <w:lang w:val="vi-VN"/>
        </w:rPr>
        <w:t>Nghị định</w:t>
      </w:r>
      <w:r w:rsidRPr="00AE2195">
        <w:rPr>
          <w:sz w:val="28"/>
          <w:szCs w:val="28"/>
          <w:lang w:val="vi-VN"/>
        </w:rPr>
        <w:t xml:space="preserve"> của các ban, bộ, ngành, UBND các tỉnh, thành phố trực thuộc Trung ương; đồng thời đăng tải dự thảo trên Cổng Pháp luật Quốc gia, Cổng thông tin điện tử của Bộ Văn hóa, Thể thao và Du lịch để lấy ý kiến nhân dân theo đúng quy định của Luật Ban hành văn bản quy phạm pháp luật.</w:t>
      </w:r>
      <w:r w:rsidRPr="00AE2195">
        <w:rPr>
          <w:rStyle w:val="FootnoteReference"/>
          <w:sz w:val="28"/>
          <w:szCs w:val="28"/>
        </w:rPr>
        <w:footnoteReference w:id="3"/>
      </w:r>
    </w:p>
    <w:p w14:paraId="002C6D31" w14:textId="610E0A32" w:rsidR="00541FAF" w:rsidRPr="00AE2195" w:rsidRDefault="00541FAF" w:rsidP="00541FAF">
      <w:pPr>
        <w:pStyle w:val="NormalWeb"/>
        <w:spacing w:before="120" w:beforeAutospacing="0" w:after="0" w:afterAutospacing="0"/>
        <w:ind w:firstLine="720"/>
        <w:jc w:val="both"/>
        <w:rPr>
          <w:sz w:val="28"/>
          <w:szCs w:val="28"/>
          <w:lang w:val="vi-VN"/>
        </w:rPr>
      </w:pPr>
      <w:r w:rsidRPr="00AE2195">
        <w:rPr>
          <w:rStyle w:val="Strong"/>
          <w:sz w:val="28"/>
          <w:szCs w:val="28"/>
          <w:lang w:val="vi-VN"/>
        </w:rPr>
        <w:t xml:space="preserve">5. Tiếp thu, chỉnh lý dự thảo </w:t>
      </w:r>
      <w:r w:rsidR="00B618B9" w:rsidRPr="00AE2195">
        <w:rPr>
          <w:rStyle w:val="Strong"/>
          <w:sz w:val="28"/>
          <w:szCs w:val="28"/>
          <w:lang w:val="vi-VN"/>
        </w:rPr>
        <w:t xml:space="preserve">Nghị định </w:t>
      </w:r>
      <w:r w:rsidRPr="00AE2195">
        <w:rPr>
          <w:rStyle w:val="Strong"/>
          <w:sz w:val="28"/>
          <w:szCs w:val="28"/>
          <w:lang w:val="vi-VN"/>
        </w:rPr>
        <w:t xml:space="preserve"> trên cơ sở ý kiến góp ý của các cơ quan, tổ chức, doanh nghiệp có liên quan và ý kiến thẩm định của Bộ Tư pháp</w:t>
      </w:r>
      <w:r w:rsidRPr="00AE2195">
        <w:rPr>
          <w:sz w:val="28"/>
          <w:szCs w:val="28"/>
          <w:lang w:val="vi-VN"/>
        </w:rPr>
        <w:t xml:space="preserve">, bảo đảm phù hợp với yêu cầu cải cách thể chế, cải cách thủ tục hành chính, thúc đẩy chuyển đổi số và hội nhập quốc tế trong lĩnh vực </w:t>
      </w:r>
      <w:r w:rsidR="003C2E03" w:rsidRPr="00AE2195">
        <w:rPr>
          <w:sz w:val="28"/>
          <w:szCs w:val="28"/>
          <w:lang w:val="vi-VN"/>
        </w:rPr>
        <w:t>in.</w:t>
      </w:r>
    </w:p>
    <w:p w14:paraId="38583D02" w14:textId="0D259BE6" w:rsidR="009C6834" w:rsidRPr="00AE2195" w:rsidRDefault="00541FAF" w:rsidP="003C2E03">
      <w:pPr>
        <w:pStyle w:val="NormalWeb"/>
        <w:spacing w:before="120" w:beforeAutospacing="0" w:after="0" w:afterAutospacing="0"/>
        <w:ind w:firstLine="720"/>
        <w:jc w:val="both"/>
        <w:rPr>
          <w:sz w:val="28"/>
          <w:szCs w:val="28"/>
          <w:lang w:val="vi-VN"/>
        </w:rPr>
      </w:pPr>
      <w:r w:rsidRPr="00AE2195">
        <w:rPr>
          <w:b/>
          <w:bCs/>
          <w:sz w:val="28"/>
          <w:szCs w:val="28"/>
          <w:lang w:val="vi-VN"/>
        </w:rPr>
        <w:t>6. Hoàn thiện hồ sơ</w:t>
      </w:r>
      <w:r w:rsidRPr="00AE2195">
        <w:rPr>
          <w:sz w:val="28"/>
          <w:szCs w:val="28"/>
          <w:lang w:val="vi-VN"/>
        </w:rPr>
        <w:t xml:space="preserve"> </w:t>
      </w:r>
      <w:r w:rsidR="003C2E03" w:rsidRPr="00AE2195">
        <w:rPr>
          <w:sz w:val="28"/>
          <w:szCs w:val="28"/>
          <w:lang w:val="vi-VN"/>
        </w:rPr>
        <w:t>xây dựng Nghị định</w:t>
      </w:r>
      <w:r w:rsidRPr="00AE2195">
        <w:rPr>
          <w:sz w:val="28"/>
          <w:szCs w:val="28"/>
          <w:lang w:val="vi-VN"/>
        </w:rPr>
        <w:t xml:space="preserve"> </w:t>
      </w:r>
      <w:r w:rsidR="008E4886" w:rsidRPr="00AE2195">
        <w:rPr>
          <w:sz w:val="28"/>
          <w:szCs w:val="28"/>
          <w:lang w:val="vi-VN"/>
        </w:rPr>
        <w:t xml:space="preserve">thay thế </w:t>
      </w:r>
      <w:r w:rsidR="008E4886" w:rsidRPr="00AE2195">
        <w:rPr>
          <w:rFonts w:eastAsia="Calibri"/>
          <w:iCs/>
          <w:spacing w:val="-2"/>
          <w:sz w:val="28"/>
          <w:szCs w:val="28"/>
          <w:lang w:val="nl-NL"/>
        </w:rPr>
        <w:t>Nghị định số 60/2014/NĐ-CР, Nghị định số 25/2018/NĐ-CP và Nghị định số 72/2022/NĐ-CP</w:t>
      </w:r>
      <w:r w:rsidR="008E4886" w:rsidRPr="00AE2195">
        <w:rPr>
          <w:sz w:val="28"/>
          <w:szCs w:val="28"/>
          <w:lang w:val="vi-VN"/>
        </w:rPr>
        <w:t xml:space="preserve"> </w:t>
      </w:r>
      <w:r w:rsidRPr="00AE2195">
        <w:rPr>
          <w:sz w:val="28"/>
          <w:szCs w:val="28"/>
          <w:lang w:val="vi-VN"/>
        </w:rPr>
        <w:t>trình Chính phủ xem xét, quyết định.</w:t>
      </w:r>
    </w:p>
    <w:p w14:paraId="72B9EF4B" w14:textId="77777777" w:rsidR="003C2E03" w:rsidRPr="00AE2195" w:rsidRDefault="003C2E03" w:rsidP="003C2E03">
      <w:pPr>
        <w:pStyle w:val="NormalWeb"/>
        <w:spacing w:before="120" w:beforeAutospacing="0" w:after="0" w:afterAutospacing="0"/>
        <w:ind w:firstLine="720"/>
        <w:jc w:val="both"/>
        <w:rPr>
          <w:sz w:val="16"/>
          <w:szCs w:val="16"/>
          <w:lang w:val="vi-VN"/>
        </w:rPr>
      </w:pPr>
    </w:p>
    <w:p w14:paraId="2C294E4B" w14:textId="5331D31C" w:rsidR="009C6834" w:rsidRPr="00AE2195" w:rsidRDefault="009C6834" w:rsidP="005D1090">
      <w:pPr>
        <w:spacing w:before="60" w:line="276" w:lineRule="auto"/>
        <w:outlineLvl w:val="1"/>
        <w:rPr>
          <w:rFonts w:eastAsia="Times New Roman"/>
          <w:b/>
          <w:bCs/>
          <w:lang w:val="vi-VN"/>
        </w:rPr>
      </w:pPr>
      <w:r w:rsidRPr="00AE2195">
        <w:rPr>
          <w:b/>
          <w:spacing w:val="-2"/>
          <w:lang w:val="vi-VN"/>
        </w:rPr>
        <w:t xml:space="preserve">IV. BỐ CỤC VÀ NỘI DUNG CƠ BẢN CỦA DỰ </w:t>
      </w:r>
      <w:r w:rsidR="005D1090" w:rsidRPr="00AE2195">
        <w:rPr>
          <w:b/>
          <w:spacing w:val="-2"/>
          <w:lang w:val="vi-VN"/>
        </w:rPr>
        <w:t xml:space="preserve">THẢO </w:t>
      </w:r>
      <w:r w:rsidRPr="00AE2195">
        <w:rPr>
          <w:b/>
          <w:lang w:val="vi-VN"/>
        </w:rPr>
        <w:t>NGHỊ ĐỊNH QU</w:t>
      </w:r>
      <w:r w:rsidR="003C2E03" w:rsidRPr="00AE2195">
        <w:rPr>
          <w:b/>
          <w:lang w:val="vi-VN"/>
        </w:rPr>
        <w:t>Y</w:t>
      </w:r>
      <w:r w:rsidRPr="00AE2195">
        <w:rPr>
          <w:b/>
          <w:lang w:val="vi-VN"/>
        </w:rPr>
        <w:t xml:space="preserve"> ĐỊNH VỀ HOẠT ĐỘNG IN</w:t>
      </w:r>
    </w:p>
    <w:p w14:paraId="47AD618C" w14:textId="77777777" w:rsidR="009C6834" w:rsidRPr="00AE2195" w:rsidRDefault="00924511" w:rsidP="005D1090">
      <w:pPr>
        <w:spacing w:before="60" w:line="276" w:lineRule="auto"/>
        <w:outlineLvl w:val="1"/>
        <w:rPr>
          <w:rFonts w:eastAsia="Times New Roman"/>
          <w:b/>
          <w:bCs/>
          <w:lang w:val="vi-VN"/>
        </w:rPr>
      </w:pPr>
      <w:r w:rsidRPr="00AE2195">
        <w:rPr>
          <w:b/>
        </w:rPr>
        <w:t>IV.1. PHẠM VI ĐIỀU CHỈNH</w:t>
      </w:r>
    </w:p>
    <w:p w14:paraId="61840A94" w14:textId="77777777" w:rsidR="00A37980" w:rsidRPr="00AE2195" w:rsidRDefault="00A37980" w:rsidP="005D1090">
      <w:pPr>
        <w:pStyle w:val="NormalWeb"/>
        <w:spacing w:before="60" w:beforeAutospacing="0" w:after="0" w:afterAutospacing="0" w:line="276" w:lineRule="auto"/>
        <w:ind w:firstLine="709"/>
        <w:jc w:val="both"/>
        <w:rPr>
          <w:sz w:val="28"/>
          <w:szCs w:val="28"/>
          <w:lang w:val="vi-VN"/>
        </w:rPr>
      </w:pPr>
      <w:r w:rsidRPr="00AE2195">
        <w:rPr>
          <w:sz w:val="28"/>
          <w:szCs w:val="28"/>
        </w:rPr>
        <w:t>Phạm vi điều chỉnh của Nghị định được xây dựng trên cơ sở kế thừa quy định của Nghị định số 60/2014/NĐ-CP, đồng thời sửa đổi, bổ sung để phù hợp với yêu cầu quản lý trong bối cảnh mới, bảo đảm bao quát các hoạt động thuộc lĩnh vực in và thống nhất với hệ thống pháp luật hiện hành.</w:t>
      </w:r>
    </w:p>
    <w:p w14:paraId="2196BDFD" w14:textId="77777777" w:rsidR="00A37980" w:rsidRPr="00AE2195" w:rsidRDefault="00A37980" w:rsidP="005D1090">
      <w:pPr>
        <w:pStyle w:val="NormalWeb"/>
        <w:spacing w:before="60" w:beforeAutospacing="0" w:after="0" w:afterAutospacing="0" w:line="276" w:lineRule="auto"/>
        <w:ind w:firstLine="709"/>
        <w:jc w:val="both"/>
        <w:rPr>
          <w:b/>
          <w:sz w:val="28"/>
          <w:szCs w:val="28"/>
          <w:lang w:val="vi-VN"/>
        </w:rPr>
      </w:pPr>
      <w:r w:rsidRPr="00AE2195">
        <w:rPr>
          <w:b/>
          <w:sz w:val="28"/>
          <w:szCs w:val="28"/>
          <w:lang w:val="vi-VN"/>
        </w:rPr>
        <w:t>1.</w:t>
      </w:r>
      <w:r w:rsidRPr="00AE2195">
        <w:rPr>
          <w:sz w:val="28"/>
          <w:szCs w:val="28"/>
          <w:lang w:val="vi-VN"/>
        </w:rPr>
        <w:t xml:space="preserve"> </w:t>
      </w:r>
      <w:r w:rsidRPr="00AE2195">
        <w:rPr>
          <w:b/>
          <w:sz w:val="28"/>
          <w:szCs w:val="28"/>
          <w:lang w:val="vi-VN"/>
        </w:rPr>
        <w:t>Về phạm vi điều chỉnh</w:t>
      </w:r>
    </w:p>
    <w:p w14:paraId="5D3691C3" w14:textId="77777777" w:rsidR="00406F28" w:rsidRPr="00AE2195" w:rsidRDefault="00406F28" w:rsidP="00406F28">
      <w:pPr>
        <w:pStyle w:val="NormalWeb"/>
        <w:spacing w:before="60" w:beforeAutospacing="0" w:after="0" w:afterAutospacing="0" w:line="276" w:lineRule="auto"/>
        <w:ind w:firstLine="709"/>
        <w:jc w:val="both"/>
        <w:rPr>
          <w:sz w:val="28"/>
          <w:szCs w:val="28"/>
          <w:lang w:val="vi-VN"/>
        </w:rPr>
      </w:pPr>
      <w:r w:rsidRPr="00AE2195">
        <w:rPr>
          <w:sz w:val="28"/>
          <w:szCs w:val="28"/>
          <w:lang w:val="vi-VN"/>
        </w:rPr>
        <w:t>Dự thảo Nghị định được xây dựng trên cơ sở kế thừa các quy định còn phù hợp của Nghị định số 60/2014/NĐ-CP và các nghị định sửa đổi, bổ sung, đồng thời rà soát, hoàn thiện để đáp ứng yêu cầu quản lý hoạt động in trong tình hình mới.</w:t>
      </w:r>
    </w:p>
    <w:p w14:paraId="1182D556" w14:textId="77777777" w:rsidR="00406F28" w:rsidRPr="00AE2195" w:rsidRDefault="00406F28" w:rsidP="00406F28">
      <w:pPr>
        <w:pStyle w:val="NormalWeb"/>
        <w:spacing w:before="60" w:beforeAutospacing="0" w:after="0" w:afterAutospacing="0" w:line="276" w:lineRule="auto"/>
        <w:ind w:firstLine="709"/>
        <w:jc w:val="both"/>
        <w:rPr>
          <w:sz w:val="28"/>
          <w:szCs w:val="28"/>
          <w:lang w:val="vi-VN"/>
        </w:rPr>
      </w:pPr>
      <w:r w:rsidRPr="00AE2195">
        <w:rPr>
          <w:sz w:val="28"/>
          <w:szCs w:val="28"/>
          <w:lang w:val="vi-VN"/>
        </w:rPr>
        <w:t xml:space="preserve">Theo Điều 1 dự thảo, Nghị định quy định về hoạt động in, bao gồm chế bản, in và gia công sau in; hoạt động photocopy; nhập khẩu, quản lý thiết bị ngành in; phát triển ngành in; quyền, nghĩa vụ và trách nhiệm của tổ chức, cá nhân tham gia hoạt động in; quản lý nhà nước về hoạt động in. Đối với hoạt động chế bản, in, gia </w:t>
      </w:r>
      <w:r w:rsidRPr="00AE2195">
        <w:rPr>
          <w:sz w:val="28"/>
          <w:szCs w:val="28"/>
          <w:lang w:val="vi-VN"/>
        </w:rPr>
        <w:lastRenderedPageBreak/>
        <w:t xml:space="preserve">công sau in xuất bản phẩm, dự thảo xác định thực hiện theo quy định của pháp luật về xuất bản. </w:t>
      </w:r>
    </w:p>
    <w:p w14:paraId="633F0281" w14:textId="77777777" w:rsidR="00406F28" w:rsidRPr="00AE2195" w:rsidRDefault="00406F28" w:rsidP="00406F28">
      <w:pPr>
        <w:pStyle w:val="NormalWeb"/>
        <w:spacing w:before="60" w:beforeAutospacing="0" w:after="0" w:afterAutospacing="0" w:line="276" w:lineRule="auto"/>
        <w:ind w:firstLine="709"/>
        <w:jc w:val="both"/>
        <w:rPr>
          <w:sz w:val="28"/>
          <w:szCs w:val="28"/>
          <w:lang w:val="vi-VN"/>
        </w:rPr>
      </w:pPr>
      <w:r w:rsidRPr="00AE2195">
        <w:rPr>
          <w:sz w:val="28"/>
          <w:szCs w:val="28"/>
        </w:rPr>
        <w:t>So với Nghị định số 60/2014/NĐ-CP, phạm vi điều chỉnh của dự thảo được hoàn thiện theo hướng không chỉ tập trung vào kiểm soát hoạt động in mà còn bao quát các nội dung phục vụ quản lý và phát triển ngành in, trong đó có chuyển đổi số, chuyển đổi xanh, phát triển nguồn nhân lực, quản lý rủi ro, Cơ sở dữ liệu về hoạt động in, mã dữ liệu cơ sở in, mã dữ liệu thiết bị in và tăng cường phối hợp giữa các cơ quan quản lý nhà nước.</w:t>
      </w:r>
    </w:p>
    <w:p w14:paraId="2CCCA8D6" w14:textId="551FAC66" w:rsidR="00A37980" w:rsidRPr="00AE2195" w:rsidRDefault="00406F28" w:rsidP="00406F28">
      <w:pPr>
        <w:pStyle w:val="NormalWeb"/>
        <w:spacing w:before="60" w:beforeAutospacing="0" w:after="0" w:afterAutospacing="0" w:line="276" w:lineRule="auto"/>
        <w:ind w:firstLine="709"/>
        <w:jc w:val="both"/>
        <w:rPr>
          <w:sz w:val="28"/>
          <w:szCs w:val="28"/>
          <w:lang w:val="vi-VN"/>
        </w:rPr>
      </w:pPr>
      <w:r w:rsidRPr="00AE2195">
        <w:rPr>
          <w:sz w:val="28"/>
          <w:szCs w:val="28"/>
          <w:lang w:val="vi-VN"/>
        </w:rPr>
        <w:t>Dự thảo đồng thời xác định rõ các hoạt động thuộc phạm vi quản lý chuyên ngành của pháp luật khác. Việc xác định phạm vi như vậy nhằm hạn chế chồng chéo, bảo đảm tính thống nhất giữa pháp luật về hoạt động in với pháp luật về xuất bản và các lĩnh vực chuyên ngành có liên quan.</w:t>
      </w:r>
    </w:p>
    <w:p w14:paraId="7ACAA734" w14:textId="3B25A03E" w:rsidR="00924511" w:rsidRPr="00AE2195" w:rsidRDefault="00924511" w:rsidP="005D1090">
      <w:pPr>
        <w:spacing w:before="60" w:line="276" w:lineRule="auto"/>
        <w:outlineLvl w:val="1"/>
        <w:rPr>
          <w:rFonts w:eastAsia="Times New Roman"/>
          <w:b/>
          <w:bCs/>
          <w:lang w:val="vi-VN"/>
        </w:rPr>
      </w:pPr>
      <w:r w:rsidRPr="00AE2195">
        <w:rPr>
          <w:b/>
          <w:spacing w:val="-2"/>
          <w:lang w:val="vi-VN"/>
        </w:rPr>
        <w:t>IV.</w:t>
      </w:r>
      <w:r w:rsidRPr="00AE2195">
        <w:rPr>
          <w:rFonts w:eastAsia="Times New Roman"/>
          <w:b/>
          <w:bCs/>
          <w:lang w:val="vi-VN"/>
        </w:rPr>
        <w:t>2. BỐ CỤC CỦA DỰ THẢO NGHỊ ĐỊNH</w:t>
      </w:r>
    </w:p>
    <w:p w14:paraId="4B7D5FEA" w14:textId="799DE645" w:rsidR="00924511" w:rsidRPr="00AE2195" w:rsidRDefault="00406F28" w:rsidP="005D1090">
      <w:pPr>
        <w:spacing w:before="60" w:line="276" w:lineRule="auto"/>
        <w:rPr>
          <w:rFonts w:eastAsia="Times New Roman"/>
          <w:lang w:val="vi-VN"/>
        </w:rPr>
      </w:pPr>
      <w:r w:rsidRPr="00AE2195">
        <w:rPr>
          <w:rFonts w:eastAsia="Times New Roman"/>
          <w:lang w:val="vi-VN"/>
        </w:rPr>
        <w:t>Dự thảo Nghị định hiện gồm</w:t>
      </w:r>
      <w:r w:rsidRPr="00AE2195">
        <w:rPr>
          <w:rFonts w:eastAsia="Times New Roman"/>
          <w:b/>
          <w:bCs/>
          <w:lang w:val="vi-VN"/>
        </w:rPr>
        <w:t xml:space="preserve"> 05 chương, 32 điều</w:t>
      </w:r>
      <w:r w:rsidRPr="00AE2195">
        <w:rPr>
          <w:rFonts w:eastAsia="Times New Roman"/>
          <w:lang w:val="vi-VN"/>
        </w:rPr>
        <w:t>,</w:t>
      </w:r>
      <w:r w:rsidR="00924511" w:rsidRPr="00AE2195">
        <w:rPr>
          <w:rFonts w:eastAsia="Times New Roman"/>
          <w:lang w:val="vi-VN"/>
        </w:rPr>
        <w:t xml:space="preserve"> cụ thể như sau:</w:t>
      </w:r>
    </w:p>
    <w:p w14:paraId="23D56EBF" w14:textId="31C6F785" w:rsidR="00F20CA1" w:rsidRPr="00AE2195" w:rsidRDefault="00924511" w:rsidP="005D1090">
      <w:pPr>
        <w:spacing w:before="60" w:line="276" w:lineRule="auto"/>
        <w:rPr>
          <w:rFonts w:eastAsia="Times New Roman"/>
          <w:b/>
          <w:bCs/>
          <w:lang w:val="vi-VN"/>
        </w:rPr>
      </w:pPr>
      <w:r w:rsidRPr="00AE2195">
        <w:rPr>
          <w:b/>
        </w:rPr>
        <w:t>Chương I. Những quy định chung (từ Điều 1 đến Điều 4)</w:t>
      </w:r>
    </w:p>
    <w:p w14:paraId="17FF7BB1" w14:textId="77777777" w:rsidR="00406F28" w:rsidRPr="00AE2195" w:rsidRDefault="00406F28" w:rsidP="00406F28">
      <w:pPr>
        <w:spacing w:before="60" w:line="276" w:lineRule="auto"/>
        <w:rPr>
          <w:lang w:val="vi-VN"/>
        </w:rPr>
      </w:pPr>
      <w:r w:rsidRPr="00AE2195">
        <w:t>Quy định về phạm vi điều chỉnh; giải thích từ ngữ; chính sách của Nhà nước đối với hoạt động in; những nội dung và hành vi bị cấm.</w:t>
      </w:r>
    </w:p>
    <w:p w14:paraId="4E066DF4" w14:textId="7DCC892A" w:rsidR="00924511" w:rsidRPr="00AE2195" w:rsidRDefault="00406F28" w:rsidP="00406F28">
      <w:pPr>
        <w:spacing w:before="60" w:line="276" w:lineRule="auto"/>
        <w:rPr>
          <w:lang w:val="vi-VN"/>
        </w:rPr>
      </w:pPr>
      <w:r w:rsidRPr="00AE2195">
        <w:rPr>
          <w:lang w:val="vi-VN"/>
        </w:rPr>
        <w:t>Chương này đặt nền tảng pháp lý chung cho việc quản lý hoạt động in, đồng thời lần đầu tiên thể hiện tương đối rõ định hướng phát triển ngành in gắn với khoa học, công nghệ, đổi mới sáng tạo, chuyển đổi số, chuyển đổi xanh, phát triển nguồn nhân lực, nâng cao năng lực cạnh tranh và tham gia chuỗi cung ứng.</w:t>
      </w:r>
      <w:r w:rsidR="00924511" w:rsidRPr="00AE2195">
        <w:rPr>
          <w:lang w:val="vi-VN"/>
        </w:rPr>
        <w:t xml:space="preserve"> </w:t>
      </w:r>
    </w:p>
    <w:p w14:paraId="67B4F7F0" w14:textId="13546395" w:rsidR="00F20CA1" w:rsidRPr="00AE2195" w:rsidRDefault="00924511" w:rsidP="005D1090">
      <w:pPr>
        <w:spacing w:before="60" w:line="276" w:lineRule="auto"/>
        <w:rPr>
          <w:rFonts w:eastAsia="Times New Roman"/>
          <w:b/>
          <w:bCs/>
          <w:lang w:val="vi-VN"/>
        </w:rPr>
      </w:pPr>
      <w:r w:rsidRPr="00AE2195">
        <w:rPr>
          <w:b/>
        </w:rPr>
        <w:t>Chương II. Quản lý nhà nước về hoạt động in (từ Điều 5 đến Điều 8)</w:t>
      </w:r>
    </w:p>
    <w:p w14:paraId="6C80F91A" w14:textId="77777777" w:rsidR="00406F28" w:rsidRPr="00AE2195" w:rsidRDefault="00406F28" w:rsidP="00406F28">
      <w:pPr>
        <w:spacing w:before="60" w:line="276" w:lineRule="auto"/>
        <w:rPr>
          <w:lang w:val="vi-VN"/>
        </w:rPr>
      </w:pPr>
      <w:r w:rsidRPr="00AE2195">
        <w:rPr>
          <w:lang w:val="vi-VN"/>
        </w:rPr>
        <w:t>Quy định trách nhiệm quản lý nhà nước của Bộ Văn hóa, Thể thao và Du lịch; trách nhiệm phối hợp của các bộ, ngành; trách nhiệm của Ủy ban nhân dân cấp tỉnh và cấp xã; cơ sở dữ liệu về hoạt động in; quản lý rủi ro; chế độ thông tin, báo cáo.</w:t>
      </w:r>
    </w:p>
    <w:p w14:paraId="1BD75918" w14:textId="46C9E052" w:rsidR="00A571E5" w:rsidRPr="00AE2195" w:rsidRDefault="00406F28" w:rsidP="00406F28">
      <w:pPr>
        <w:spacing w:before="60" w:line="276" w:lineRule="auto"/>
        <w:rPr>
          <w:lang w:val="vi-VN"/>
        </w:rPr>
      </w:pPr>
      <w:r w:rsidRPr="00AE2195">
        <w:rPr>
          <w:lang w:val="vi-VN"/>
        </w:rPr>
        <w:t>Đây là chương thể hiện rõ sự thay đổi phương thức quản lý từ quản lý hành chính truyền thống sang quản lý dựa trên dữ liệu, quản lý rủi ro, hậu kiểm và phân cấp, phân quyền.</w:t>
      </w:r>
    </w:p>
    <w:p w14:paraId="043BC563" w14:textId="219B0B3B" w:rsidR="000C6B30" w:rsidRPr="00AE2195" w:rsidRDefault="000C6B30" w:rsidP="000C6B30">
      <w:pPr>
        <w:spacing w:before="60" w:line="276" w:lineRule="auto"/>
        <w:rPr>
          <w:rFonts w:eastAsia="Times New Roman"/>
          <w:b/>
          <w:bCs/>
          <w:lang w:val="vi-VN"/>
        </w:rPr>
      </w:pPr>
      <w:r w:rsidRPr="00AE2195">
        <w:rPr>
          <w:b/>
        </w:rPr>
        <w:t>Chương III. Hoạt động in (từ Điều 9 đến Điều 25)</w:t>
      </w:r>
    </w:p>
    <w:p w14:paraId="09925118" w14:textId="79291B44" w:rsidR="00406F28" w:rsidRPr="00AE2195" w:rsidRDefault="00406F28" w:rsidP="00406F28">
      <w:pPr>
        <w:spacing w:before="60" w:line="276" w:lineRule="auto"/>
        <w:rPr>
          <w:lang w:val="vi-VN"/>
        </w:rPr>
      </w:pPr>
      <w:r w:rsidRPr="00AE2195">
        <w:t xml:space="preserve">Quy định về điều kiện hoạt động của cơ sở in; đăng ký hoạt động, đăng ký lại và thu hồi giấy xác nhận đăng ký hoạt động cơ sở kinh doanh dịch vụ in; trách nhiệm của cơ sở in, người đứng đầu cơ sở in, cơ quan, tổ chức, doanh nghiệp có cơ sở in nội bộ và bên đặt in; mã dữ liệu cơ sở in và thiết bị in; điều kiện nhận chế bản, in, gia công sau in; quản lý sản phẩm in theo mức độ rủi ro; in bao bì thực phẩm, dược </w:t>
      </w:r>
      <w:r w:rsidRPr="00AE2195">
        <w:lastRenderedPageBreak/>
        <w:t xml:space="preserve">phẩm, hóa dược; in xuất khẩu sản phẩm in; hoạt động dịch vụ photocopy; </w:t>
      </w:r>
      <w:r w:rsidR="007D1647" w:rsidRPr="00AE2195">
        <w:t xml:space="preserve">quản lý </w:t>
      </w:r>
      <w:r w:rsidRPr="00AE2195">
        <w:t>nhập khẩu và sử dụng thiết bị in.</w:t>
      </w:r>
    </w:p>
    <w:p w14:paraId="370856E6" w14:textId="59E881BF" w:rsidR="00406F28" w:rsidRPr="00AE2195" w:rsidRDefault="00406F28" w:rsidP="00406F28">
      <w:pPr>
        <w:spacing w:before="60" w:line="276" w:lineRule="auto"/>
        <w:rPr>
          <w:lang w:val="vi-VN"/>
        </w:rPr>
      </w:pPr>
      <w:r w:rsidRPr="00AE2195">
        <w:rPr>
          <w:lang w:val="vi-VN"/>
        </w:rPr>
        <w:t>Chương này là phần trọng tâm của Nghị định, trong đó phương thức quản lý được thiết kế theo hướng đơn giản hóa thủ tục đầu vào, tăng cường cập nhật dữ liệu, quản lý rủi ro và hậu kiểm, đồng thời duy trì các yêu cầu quản lý đặc thù đối với sản phẩm có mức độ rủi ro cao.</w:t>
      </w:r>
    </w:p>
    <w:p w14:paraId="0FEF644A" w14:textId="5AECADFE" w:rsidR="00F20CA1" w:rsidRPr="00AE2195" w:rsidRDefault="00924511" w:rsidP="005D1090">
      <w:pPr>
        <w:spacing w:before="60" w:line="276" w:lineRule="auto"/>
        <w:rPr>
          <w:rFonts w:eastAsia="Times New Roman"/>
          <w:b/>
          <w:bCs/>
          <w:lang w:val="vi-VN"/>
        </w:rPr>
      </w:pPr>
      <w:r w:rsidRPr="00AE2195">
        <w:rPr>
          <w:b/>
        </w:rPr>
        <w:t>Chương IV. Phát triển nguồn nhân lực ngành in (từ Điều 26 đến Điều 29)</w:t>
      </w:r>
    </w:p>
    <w:p w14:paraId="37E8770A" w14:textId="77777777" w:rsidR="004B00B1" w:rsidRPr="00AE2195" w:rsidRDefault="004B00B1" w:rsidP="004B00B1">
      <w:pPr>
        <w:spacing w:before="60" w:line="276" w:lineRule="auto"/>
        <w:rPr>
          <w:rFonts w:eastAsia="Times New Roman"/>
          <w:lang w:val="vi-VN"/>
        </w:rPr>
      </w:pPr>
      <w:r w:rsidRPr="00AE2195">
        <w:t>Quy định về phát triển nguồn nhân lực ngành in; Khung năng lực nhân lực ngành in; đào tạo, đào tạo lại và bồi dưỡng nhân lực ngành in; tổ chức và liên kết phát triển nguồn nhân lực ngành in.</w:t>
      </w:r>
    </w:p>
    <w:p w14:paraId="6C2B797F" w14:textId="77777777" w:rsidR="004B00B1" w:rsidRPr="00AE2195" w:rsidRDefault="004B00B1" w:rsidP="004B00B1">
      <w:pPr>
        <w:spacing w:before="60" w:line="276" w:lineRule="auto"/>
        <w:rPr>
          <w:rFonts w:eastAsia="Times New Roman"/>
          <w:lang w:val="vi-VN"/>
        </w:rPr>
      </w:pPr>
      <w:r w:rsidRPr="00AE2195">
        <w:rPr>
          <w:rFonts w:eastAsia="Times New Roman"/>
          <w:lang w:val="vi-VN"/>
        </w:rPr>
        <w:t>Đây là nhóm quy định mới, nhằm tạo cơ sở cho việc phát triển nguồn nhân lực đáp ứng yêu cầu hiện đại hóa, chuyển đổi số, chuyển đổi xanh, tự động hóa, ứng dụng trí tuệ nhân tạo và hội nhập quốc tế. Khung năng lực được xác định là cơ sở tham khảo cho nghiên cứu nhu cầu nhân lực, xây dựng chương trình đào tạo và phát triển kỹ năng của người lao động.</w:t>
      </w:r>
    </w:p>
    <w:p w14:paraId="57A1144A" w14:textId="43E10B58" w:rsidR="00924511" w:rsidRPr="00AE2195" w:rsidRDefault="004B00B1" w:rsidP="004B00B1">
      <w:pPr>
        <w:spacing w:before="60" w:line="276" w:lineRule="auto"/>
        <w:rPr>
          <w:rFonts w:eastAsia="Times New Roman"/>
          <w:b/>
          <w:bCs/>
          <w:lang w:val="vi-VN"/>
        </w:rPr>
      </w:pPr>
      <w:r w:rsidRPr="00AE2195">
        <w:rPr>
          <w:b/>
        </w:rPr>
        <w:t>Chương V. Điều khoản thi hành (từ Điều 30 đến Điều 32)</w:t>
      </w:r>
    </w:p>
    <w:p w14:paraId="4B541A7D" w14:textId="77777777" w:rsidR="004B00B1" w:rsidRPr="00AE2195" w:rsidRDefault="004B00B1" w:rsidP="004B00B1">
      <w:pPr>
        <w:spacing w:before="60" w:line="276" w:lineRule="auto"/>
        <w:rPr>
          <w:rFonts w:eastAsia="Times New Roman"/>
          <w:lang w:val="vi-VN"/>
        </w:rPr>
      </w:pPr>
      <w:r w:rsidRPr="00AE2195">
        <w:t>Quy định về hiệu lực thi hành, quy định chuyển tiếp và trách nhiệm thi hành.</w:t>
      </w:r>
    </w:p>
    <w:p w14:paraId="75497012" w14:textId="2D6F24BC" w:rsidR="004B00B1" w:rsidRPr="00AE2195" w:rsidRDefault="004B00B1" w:rsidP="004B00B1">
      <w:pPr>
        <w:spacing w:before="60" w:line="276" w:lineRule="auto"/>
        <w:rPr>
          <w:rFonts w:eastAsia="Times New Roman"/>
          <w:lang w:val="vi-VN"/>
        </w:rPr>
      </w:pPr>
      <w:r w:rsidRPr="00AE2195">
        <w:t>Theo dự thảo, Nghị định có hiệu lực từ ngày 01 tháng 3 năm 2027; kể từ thời điểm này, Nghị định số 60/2014/NĐ-CP, Nghị định số 25/2018/NĐ-CP và Nghị định số 72/2022/NĐ-CP hết hiệu lực.</w:t>
      </w:r>
    </w:p>
    <w:p w14:paraId="5994425C" w14:textId="77777777" w:rsidR="00702F83" w:rsidRPr="00AE2195" w:rsidRDefault="00924511" w:rsidP="005D1090">
      <w:pPr>
        <w:spacing w:before="60" w:line="276" w:lineRule="auto"/>
        <w:outlineLvl w:val="1"/>
        <w:rPr>
          <w:rFonts w:eastAsia="Times New Roman"/>
          <w:b/>
          <w:bCs/>
          <w:lang w:val="vi-VN"/>
        </w:rPr>
      </w:pPr>
      <w:r w:rsidRPr="00AE2195">
        <w:rPr>
          <w:rFonts w:eastAsia="Times New Roman"/>
          <w:b/>
          <w:bCs/>
          <w:lang w:val="vi-VN"/>
        </w:rPr>
        <w:t>IV.3</w:t>
      </w:r>
      <w:r w:rsidR="00702F83" w:rsidRPr="00AE2195">
        <w:rPr>
          <w:rFonts w:eastAsia="Times New Roman"/>
          <w:b/>
          <w:bCs/>
          <w:lang w:val="vi-VN"/>
        </w:rPr>
        <w:t xml:space="preserve">. </w:t>
      </w:r>
      <w:r w:rsidRPr="00AE2195">
        <w:rPr>
          <w:rFonts w:eastAsia="Times New Roman"/>
          <w:b/>
          <w:bCs/>
          <w:lang w:val="vi-VN"/>
        </w:rPr>
        <w:t>NỘI DUNG CHÍNH CỦA DỰ THẢO NGHỊ ĐỊNH</w:t>
      </w:r>
    </w:p>
    <w:p w14:paraId="240555CA" w14:textId="02E8C5C2" w:rsidR="004B00B1" w:rsidRPr="00AE2195" w:rsidRDefault="004B00B1" w:rsidP="005D1090">
      <w:pPr>
        <w:spacing w:before="60" w:line="276" w:lineRule="auto"/>
        <w:rPr>
          <w:bCs/>
          <w:lang w:val="vi-VN"/>
        </w:rPr>
      </w:pPr>
      <w:r w:rsidRPr="00AE2195">
        <w:t>Dự thảo Nghị định tập trung giải quyết 05 nhóm vấn đề lớn, có quan hệ chặt chẽ với nhau, gồm: (1) đổi mới phương thức quản lý nhà nước trên cơ sở dữ liệu và quản lý rủi ro; (2) cải cách thủ tục hành chính, phân cấp và giảm chi phí tuân thủ; (3) phát triển ngành in gắn với chuyển đổi số, chuyển đổi xanh và nguồn nhân lực; (4) tăng cường quản lý sản phẩm in theo mức độ rủi ro, phối hợp liên ngành và phòng, chống vi phạm; (5) hoàn thiện cơ chế quản lý điều kiện hoạt động và thiết bị in phù hợp với yêu cầu phát triển công nghệ và hội nhập.</w:t>
      </w:r>
    </w:p>
    <w:p w14:paraId="0CD35D4F" w14:textId="77777777" w:rsidR="004B00B1" w:rsidRPr="00AE2195" w:rsidRDefault="004B00B1" w:rsidP="004B00B1">
      <w:pPr>
        <w:spacing w:before="60" w:line="276" w:lineRule="auto"/>
        <w:rPr>
          <w:b/>
          <w:bCs/>
          <w:lang w:val="vi-VN"/>
        </w:rPr>
      </w:pPr>
      <w:r w:rsidRPr="00AE2195">
        <w:rPr>
          <w:b/>
          <w:bCs/>
          <w:lang w:val="vi-VN"/>
        </w:rPr>
        <w:t>1. Chính sách 1. Đổi mới phương thức quản lý nhà nước đối với hoạt động in theo hướng quản trị số, quản lý rủi ro và khai thác dữ liệu</w:t>
      </w:r>
    </w:p>
    <w:p w14:paraId="23AF48B0" w14:textId="77777777" w:rsidR="004B00B1" w:rsidRPr="00AE2195" w:rsidRDefault="004B00B1" w:rsidP="004B00B1">
      <w:pPr>
        <w:spacing w:before="60" w:line="276" w:lineRule="auto"/>
        <w:rPr>
          <w:bCs/>
          <w:lang w:val="vi-VN"/>
        </w:rPr>
      </w:pPr>
      <w:r w:rsidRPr="00AE2195">
        <w:rPr>
          <w:bCs/>
          <w:lang w:val="vi-VN"/>
        </w:rPr>
        <w:t>Nghị định số 60/2014/NĐ-CP được xây dựng trong bối cảnh phương thức quản lý hoạt động in chủ yếu dựa trên hồ sơ, thủ tục hành chính, chế độ báo cáo và quản lý thông tin theo từng cơ quan. Trong khi đó, yêu cầu quản lý hiện nay đòi hỏi dữ liệu về cơ sở in, thiết bị in và hoạt động in phải được chuẩn hóa, cập nhật và khai thác thống nhất để phục vụ quản lý nhà nước.</w:t>
      </w:r>
    </w:p>
    <w:p w14:paraId="16844921" w14:textId="77777777" w:rsidR="004B00B1" w:rsidRPr="00AE2195" w:rsidRDefault="004B00B1" w:rsidP="004B00B1">
      <w:pPr>
        <w:spacing w:before="60" w:line="276" w:lineRule="auto"/>
        <w:rPr>
          <w:bCs/>
          <w:lang w:val="vi-VN"/>
        </w:rPr>
      </w:pPr>
      <w:r w:rsidRPr="00AE2195">
        <w:lastRenderedPageBreak/>
        <w:t>Để đáp ứng yêu cầu này, dự thảo Nghị định thiết lập Cơ sở dữ liệu về hoạt động in được xây dựng, quản lý thống nhất, tích hợp, lưu trữ và chia sẻ dữ liệu phục vụ quản lý nhà nước về hoạt động in.</w:t>
      </w:r>
    </w:p>
    <w:p w14:paraId="6BF62B83" w14:textId="77777777" w:rsidR="004B00B1" w:rsidRPr="00AE2195" w:rsidRDefault="004B00B1" w:rsidP="004B00B1">
      <w:pPr>
        <w:spacing w:before="60" w:line="276" w:lineRule="auto"/>
        <w:rPr>
          <w:bCs/>
          <w:lang w:val="vi-VN"/>
        </w:rPr>
      </w:pPr>
      <w:r w:rsidRPr="00AE2195">
        <w:t>Cơ sở dữ liệu bao gồm dữ liệu về cơ sở kinh doanh dịch vụ in; dữ liệu về thiết bị in và các dữ liệu khác phục vụ quản lý nhà nước về hoạt động in. Cơ sở dữ liệu được kết nối, chia sẻ với cơ sở dữ liệu quốc gia, cơ sở dữ liệu chuyên ngành và hệ thống thông tin có liên quan. Cơ quan, tổ chức, cá nhân không phải cung cấp lại dữ liệu đã được cơ quan nhà nước thu thập, quản lý và có thể khai thác thông qua kết nối, chia sẻ dữ liệu.</w:t>
      </w:r>
    </w:p>
    <w:p w14:paraId="5DF02717" w14:textId="77777777" w:rsidR="004B00B1" w:rsidRPr="00AE2195" w:rsidRDefault="004B00B1" w:rsidP="004B00B1">
      <w:pPr>
        <w:spacing w:before="60" w:line="276" w:lineRule="auto"/>
        <w:rPr>
          <w:bCs/>
          <w:lang w:val="vi-VN"/>
        </w:rPr>
      </w:pPr>
      <w:r w:rsidRPr="00AE2195">
        <w:t>Dự thảo đồng thời đưa quản lý rủi ro trở thành một phương thức quản lý xuyên suốt, trên cơ sở kết hợp mức độ rủi ro của sản phẩm in, mức độ tuân thủ pháp luật của cơ sở in và mức độ rủi ro của thiết bị in. Kết quả đánh giá được sử dụng để xây dựng kế hoạch, lựa chọn đối tượng, nội dung, phạm vi và tần suất kiểm tra, hậu kiểm; theo dõi việc khắc phục sau xử lý vi phạm và áp dụng các biện pháp quản lý phù hợp.</w:t>
      </w:r>
    </w:p>
    <w:p w14:paraId="611889C6" w14:textId="4096360E" w:rsidR="004B00B1" w:rsidRPr="00AE2195" w:rsidRDefault="004B00B1" w:rsidP="004B00B1">
      <w:pPr>
        <w:spacing w:before="60" w:line="276" w:lineRule="auto"/>
        <w:rPr>
          <w:bCs/>
          <w:lang w:val="vi-VN"/>
        </w:rPr>
      </w:pPr>
      <w:r w:rsidRPr="00AE2195">
        <w:rPr>
          <w:bCs/>
          <w:lang w:val="vi-VN"/>
        </w:rPr>
        <w:t>Như vậy, phương thức quản lý được chuyển từ quản lý chủ yếu dựa trên hồ sơ sang quản lý bằng dữ liệu; từ kiểm tra dàn trải sang quản lý theo rủi ro; từ yêu cầu cung cấp thông tin nhiều lần sang khai thác dữ liệu đã có và kết nối, chia sẻ giữa các cơ quan. Đây là cơ sở để nâng cao hiệu quả quản lý nhà nước đồng thời giảm chi phí tuân thủ và hạn chế trùng lặp thông tin đối với tổ chức, cá nhân.</w:t>
      </w:r>
    </w:p>
    <w:p w14:paraId="4A20CF41" w14:textId="77777777" w:rsidR="004B00B1" w:rsidRPr="00AE2195" w:rsidRDefault="004B00B1" w:rsidP="004B00B1">
      <w:pPr>
        <w:spacing w:before="60" w:line="276" w:lineRule="auto"/>
        <w:rPr>
          <w:b/>
          <w:bCs/>
          <w:lang w:val="vi-VN"/>
        </w:rPr>
      </w:pPr>
      <w:r w:rsidRPr="00AE2195">
        <w:rPr>
          <w:b/>
          <w:bCs/>
          <w:lang w:val="vi-VN"/>
        </w:rPr>
        <w:t>2. Chính sách 2. Cải cách thủ tục hành chính, phân cấp, phân quyền và giảm chi phí tuân thủ</w:t>
      </w:r>
    </w:p>
    <w:p w14:paraId="67BBD83D" w14:textId="77777777" w:rsidR="004B00B1" w:rsidRPr="00AE2195" w:rsidRDefault="004B00B1" w:rsidP="004B00B1">
      <w:pPr>
        <w:spacing w:before="60" w:line="276" w:lineRule="auto"/>
        <w:rPr>
          <w:bCs/>
          <w:lang w:val="vi-VN"/>
        </w:rPr>
      </w:pPr>
      <w:r w:rsidRPr="00AE2195">
        <w:rPr>
          <w:bCs/>
          <w:lang w:val="vi-VN"/>
        </w:rPr>
        <w:t>Nghị định số 60/2014/NĐ-CP được xây dựng theo mô hình quản lý hành chính truyền thống, trong đó việc thực hiện thủ tục, cập nhật thông tin và báo cáo còn phụ thuộc đáng kể vào hồ sơ hành chính và phương thức quản lý trực tiếp.</w:t>
      </w:r>
    </w:p>
    <w:p w14:paraId="2C637E05" w14:textId="77777777" w:rsidR="004B00B1" w:rsidRPr="00AE2195" w:rsidRDefault="004B00B1" w:rsidP="004B00B1">
      <w:pPr>
        <w:spacing w:before="60" w:line="276" w:lineRule="auto"/>
        <w:rPr>
          <w:bCs/>
          <w:lang w:val="vi-VN"/>
        </w:rPr>
      </w:pPr>
      <w:r w:rsidRPr="00AE2195">
        <w:rPr>
          <w:bCs/>
          <w:lang w:val="vi-VN"/>
        </w:rPr>
        <w:t>Dự thảo Nghị định chuyển sang cơ chế đăng ký hoạt động, đồng thời phân cấp thẩm quyền xác nhận đăng ký cho chính quyền địa phương.</w:t>
      </w:r>
    </w:p>
    <w:p w14:paraId="7FE641D5" w14:textId="77777777" w:rsidR="004B00B1" w:rsidRPr="00AE2195" w:rsidRDefault="004B00B1" w:rsidP="004B00B1">
      <w:pPr>
        <w:spacing w:before="60" w:line="276" w:lineRule="auto"/>
        <w:rPr>
          <w:bCs/>
          <w:lang w:val="vi-VN"/>
        </w:rPr>
      </w:pPr>
      <w:r w:rsidRPr="00AE2195">
        <w:t>Theo Điều 10, Ủy ban nhân dân cấp tỉnh xác nhận đăng ký hoạt động đối với cơ sở kinh doanh dịch vụ in là doanh nghiệp, đơn vị sự nghiệp, hợp tác xã và chi nhánh, địa điểm kinh doanh của các loại hình này; Ủy ban nhân dân cấp xã xác nhận đăng ký hoạt động đối với cơ sở kinh doanh dịch vụ in là hộ kinh doanh. Hồ sơ có thể được gửi trực tiếp, qua dịch vụ bưu chính hoặc trên Cổng dịch vụ công quốc gia. Trong thời hạn 05 ngày làm việc kể từ ngày nhận đủ hồ sơ hợp lệ, cơ quan có thẩm quyền cấp giấy xác nhận hoạt động in; đồng thời hệ thống tự động tạo mã dữ liệu cơ sở in và liên kết với thông tin đăng ký của cơ sở, việc tạo mã dữ liệu không phải là thủ tục hành chính riêng.</w:t>
      </w:r>
    </w:p>
    <w:p w14:paraId="3F78752D" w14:textId="77777777" w:rsidR="004B00B1" w:rsidRPr="00AE2195" w:rsidRDefault="004B00B1" w:rsidP="004B00B1">
      <w:pPr>
        <w:spacing w:before="60" w:line="276" w:lineRule="auto"/>
        <w:rPr>
          <w:bCs/>
          <w:lang w:val="vi-VN"/>
        </w:rPr>
      </w:pPr>
      <w:r w:rsidRPr="00AE2195">
        <w:rPr>
          <w:bCs/>
          <w:lang w:val="vi-VN"/>
        </w:rPr>
        <w:lastRenderedPageBreak/>
        <w:t xml:space="preserve">Dự thảo đồng thời quy định cơ chế đăng ký lại đối với những thay đổi quan trọng như tên cơ sở, địa điểm, người đứng đầu, công đoạn hoặc loại sản phẩm in; đối với các thay đổi khác, cơ sở chỉ cần cập nhật thông tin trên Cơ sở dữ liệu mà không phải đăng ký lại. </w:t>
      </w:r>
    </w:p>
    <w:p w14:paraId="0B340F4D" w14:textId="77777777" w:rsidR="004B00B1" w:rsidRPr="00AE2195" w:rsidRDefault="004B00B1" w:rsidP="004B00B1">
      <w:pPr>
        <w:spacing w:before="60" w:line="276" w:lineRule="auto"/>
        <w:rPr>
          <w:bCs/>
          <w:lang w:val="vi-VN"/>
        </w:rPr>
      </w:pPr>
      <w:r w:rsidRPr="00AE2195">
        <w:rPr>
          <w:bCs/>
          <w:lang w:val="vi-VN"/>
        </w:rPr>
        <w:t xml:space="preserve">Đối với cơ sở dịch vụ photocopy, dự thảo chuyển sang cơ chế thông báo hoạt động với Ủy ban nhân dân cấp xã, thực hiện bằng phương thức điện tử trên hệ thống thông tin kết nối với Cơ sở dữ liệu về hoạt động in. </w:t>
      </w:r>
    </w:p>
    <w:p w14:paraId="673BA92E" w14:textId="77777777" w:rsidR="004B00B1" w:rsidRPr="00AE2195" w:rsidRDefault="004B00B1" w:rsidP="004B00B1">
      <w:pPr>
        <w:spacing w:before="60" w:line="276" w:lineRule="auto"/>
        <w:rPr>
          <w:bCs/>
          <w:lang w:val="vi-VN"/>
        </w:rPr>
      </w:pPr>
      <w:r w:rsidRPr="00AE2195">
        <w:rPr>
          <w:bCs/>
          <w:lang w:val="vi-VN"/>
        </w:rPr>
        <w:t xml:space="preserve">Chế độ báo cáo cũng được đổi mới. Báo cáo định kỳ hằng năm được thực hiện bằng việc cập nhật thông tin, số liệu trên Cơ sở dữ liệu; dữ liệu đã có hoặc có thể khai thác thông qua kết nối, chia sẻ thì không phải cập nhật lại. </w:t>
      </w:r>
    </w:p>
    <w:p w14:paraId="76D629FE" w14:textId="77777777" w:rsidR="004B00B1" w:rsidRPr="00AE2195" w:rsidRDefault="004B00B1" w:rsidP="004B00B1">
      <w:pPr>
        <w:spacing w:before="60" w:line="276" w:lineRule="auto"/>
        <w:rPr>
          <w:bCs/>
          <w:lang w:val="vi-VN"/>
        </w:rPr>
      </w:pPr>
      <w:r w:rsidRPr="00AE2195">
        <w:rPr>
          <w:bCs/>
          <w:lang w:val="vi-VN"/>
        </w:rPr>
        <w:t xml:space="preserve">Cùng với phân cấp, dự thảo quy định trách nhiệm của UBND cấp tỉnh trong tổ chức quản lý rủi ro, hậu kiểm trên cơ sở dữ liệu và mức độ tuân thủ; UBND cấp xã quản lý cơ sở in là hộ kinh doanh và cơ sở dịch vụ photocopy thuộc thẩm quyền. </w:t>
      </w:r>
    </w:p>
    <w:p w14:paraId="1115DEC7" w14:textId="77777777" w:rsidR="004B00B1" w:rsidRPr="00AE2195" w:rsidRDefault="004B00B1" w:rsidP="004B00B1">
      <w:pPr>
        <w:spacing w:before="60" w:line="276" w:lineRule="auto"/>
        <w:rPr>
          <w:bCs/>
          <w:lang w:val="vi-VN"/>
        </w:rPr>
      </w:pPr>
      <w:r w:rsidRPr="00AE2195">
        <w:rPr>
          <w:bCs/>
          <w:lang w:val="vi-VN"/>
        </w:rPr>
        <w:t>Như vậy, chính sách này tạo ra ba thay đổi cơ bản: (i) điện tử hóa thủ tục; (ii) phân cấp, phân quyền gắn với trách nhiệm quản lý của địa phương; (iii) chuyển từ quản lý dựa nhiều vào hồ sơ và báo cáo sang quản lý bằng dữ liệu, rủi ro và hậu kiểm. Qua đó góp phần giảm chi phí tuân thủ, rút ngắn thời gian xử lý và nâng cao hiệu quả quản lý nhà nước.</w:t>
      </w:r>
    </w:p>
    <w:p w14:paraId="717489C2" w14:textId="77777777" w:rsidR="004B00B1" w:rsidRPr="00AE2195" w:rsidRDefault="004B00B1" w:rsidP="004B00B1">
      <w:pPr>
        <w:spacing w:before="60" w:line="276" w:lineRule="auto"/>
        <w:rPr>
          <w:b/>
          <w:bCs/>
          <w:lang w:val="vi-VN"/>
        </w:rPr>
      </w:pPr>
      <w:r w:rsidRPr="00AE2195">
        <w:rPr>
          <w:b/>
          <w:bCs/>
          <w:lang w:val="vi-VN"/>
        </w:rPr>
        <w:t>3. Chính sách 3. Phát triển ngành in theo hướng hiện đại, chuyển đổi số, chuyển đổi xanh và phát triển nguồn nhân lực</w:t>
      </w:r>
    </w:p>
    <w:p w14:paraId="1ED5C639" w14:textId="77777777" w:rsidR="004B00B1" w:rsidRPr="00AE2195" w:rsidRDefault="004B00B1" w:rsidP="004B00B1">
      <w:pPr>
        <w:spacing w:before="60" w:line="276" w:lineRule="auto"/>
        <w:rPr>
          <w:bCs/>
          <w:lang w:val="vi-VN"/>
        </w:rPr>
      </w:pPr>
      <w:r w:rsidRPr="00AE2195">
        <w:rPr>
          <w:bCs/>
          <w:lang w:val="vi-VN"/>
        </w:rPr>
        <w:t>Một hạn chế của Nghị định số 60/2014/NĐ-CP là trọng tâm điều chỉnh chủ yếu nhằm kiểm soát hoạt động in, trong khi chưa hình thành đầy đủ cơ chế định hướng phát triển ngành in trước những yêu cầu mới về công nghệ, môi trường, nguồn nhân lực và năng lực cạnh tranh.</w:t>
      </w:r>
    </w:p>
    <w:p w14:paraId="0A223E2B" w14:textId="77777777" w:rsidR="004B00B1" w:rsidRPr="00AE2195" w:rsidRDefault="004B00B1" w:rsidP="004B00B1">
      <w:pPr>
        <w:spacing w:before="60" w:line="276" w:lineRule="auto"/>
        <w:rPr>
          <w:bCs/>
          <w:lang w:val="vi-VN"/>
        </w:rPr>
      </w:pPr>
      <w:r w:rsidRPr="00AE2195">
        <w:t>Dự thảo Nghị định đã bổ sung Điều 3 về chính sách của Nhà nước đối với hoạt động in, trong đó quy định các định hướng hỗ trợ về khoa học, công nghệ, đổi mới sáng tạo, chuyển đổi số; chuyển đổi xanh, bảo vệ môi trường, sử dụng năng lượng tiết kiệm, hiệu quả; đào tạo và phát triển nguồn nhân lực; nâng cao năng lực cạnh tranh; xúc tiến thương mại, mở rộng xuất khẩu và tham gia chuỗi cung ứng; phát triển ngành in trở thành ngành công nghiệp phụ trợ quan trọng.</w:t>
      </w:r>
    </w:p>
    <w:p w14:paraId="5EB7B9B5" w14:textId="77777777" w:rsidR="004B00B1" w:rsidRPr="00AE2195" w:rsidRDefault="004B00B1" w:rsidP="004B00B1">
      <w:pPr>
        <w:spacing w:before="60" w:line="276" w:lineRule="auto"/>
        <w:rPr>
          <w:bCs/>
          <w:lang w:val="vi-VN"/>
        </w:rPr>
      </w:pPr>
      <w:r w:rsidRPr="00AE2195">
        <w:t>Dự thảo bổ sung các quy định về chuyển đổi số, chuyển đổi xanh và Khung năng lực nhân lực ngành in nhằm tạo cơ sở cho việc hiện đại hóa hoạt động sản xuất, quản trị và phát triển nguồn nhân lực ngành in.</w:t>
      </w:r>
    </w:p>
    <w:p w14:paraId="495C3689" w14:textId="77777777" w:rsidR="004B00B1" w:rsidRPr="00AE2195" w:rsidRDefault="004B00B1" w:rsidP="004B00B1">
      <w:pPr>
        <w:spacing w:before="60" w:line="276" w:lineRule="auto"/>
        <w:rPr>
          <w:bCs/>
          <w:lang w:val="vi-VN"/>
        </w:rPr>
      </w:pPr>
      <w:r w:rsidRPr="00AE2195">
        <w:t xml:space="preserve">Đặc biệt, dự thảo dành riêng Chương IV về phát triển nguồn nhân lực ngành in, từ Điều 26 đến Điều 29. Nội dung tập trung vào phát triển nhân lực có năng lực </w:t>
      </w:r>
      <w:r w:rsidRPr="00AE2195">
        <w:lastRenderedPageBreak/>
        <w:t>về quản trị sản xuất, công nghệ in, công nghệ số, dữ liệu, tự động hóa, trí tuệ nhân tạo, quản lý chất lượng, sử dụng hiệu quả tài nguyên, kinh tế tuần hoàn, đổi mới sáng tạo và hội nhập quốc tế.</w:t>
      </w:r>
    </w:p>
    <w:p w14:paraId="71A5012E" w14:textId="77777777" w:rsidR="004B00B1" w:rsidRPr="00AE2195" w:rsidRDefault="004B00B1" w:rsidP="004B00B1">
      <w:pPr>
        <w:spacing w:before="60" w:line="276" w:lineRule="auto"/>
        <w:rPr>
          <w:bCs/>
          <w:lang w:val="vi-VN"/>
        </w:rPr>
      </w:pPr>
      <w:r w:rsidRPr="00AE2195">
        <w:rPr>
          <w:bCs/>
          <w:lang w:val="vi-VN"/>
        </w:rPr>
        <w:t xml:space="preserve">Khung năng lực nhân lực ngành in được thiết kế làm cơ sở tham khảo cho nghiên cứu nhu cầu nhân lực, xây dựng và cập nhật chương trình đào tạo, tuyển dụng, sử dụng, đánh giá và phát triển nhân lực tại cơ sở in. </w:t>
      </w:r>
    </w:p>
    <w:p w14:paraId="622B32A0" w14:textId="77777777" w:rsidR="004B00B1" w:rsidRPr="00AE2195" w:rsidRDefault="004B00B1" w:rsidP="004B00B1">
      <w:pPr>
        <w:spacing w:before="60" w:line="276" w:lineRule="auto"/>
        <w:rPr>
          <w:bCs/>
          <w:lang w:val="vi-VN"/>
        </w:rPr>
      </w:pPr>
      <w:r w:rsidRPr="00AE2195">
        <w:rPr>
          <w:bCs/>
          <w:lang w:val="vi-VN"/>
        </w:rPr>
        <w:t>Việc bổ sung nhóm chính sách này thể hiện sự chuyển đổi từ cách tiếp cận chủ yếu quản lý hoạt động in sang kết hợp quản lý với định hướng phát triển ngành, tạo cơ sở pháp lý để nâng cao năng suất, chất lượng, năng lực công nghệ, chất lượng nguồn nhân lực và năng lực cạnh tranh của ngành in.</w:t>
      </w:r>
    </w:p>
    <w:p w14:paraId="09B5D7D2" w14:textId="77777777" w:rsidR="00CA008E" w:rsidRPr="00AE2195" w:rsidRDefault="00CA008E" w:rsidP="00CA008E">
      <w:pPr>
        <w:spacing w:before="60" w:line="276" w:lineRule="auto"/>
        <w:rPr>
          <w:b/>
          <w:bCs/>
          <w:lang w:val="vi-VN"/>
        </w:rPr>
      </w:pPr>
      <w:r w:rsidRPr="00AE2195">
        <w:rPr>
          <w:b/>
        </w:rPr>
        <w:t>4. Chính sách 4. Tăng cường quản lý sản phẩm in theo mức độ rủi ro, phối hợp liên ngành và phòng, chống in lậu, hàng giả</w:t>
      </w:r>
    </w:p>
    <w:p w14:paraId="20253C6D" w14:textId="77777777" w:rsidR="00CA008E" w:rsidRPr="00AE2195" w:rsidRDefault="00CA008E" w:rsidP="00CA008E">
      <w:pPr>
        <w:spacing w:before="60" w:line="276" w:lineRule="auto"/>
        <w:rPr>
          <w:bCs/>
          <w:lang w:val="vi-VN"/>
        </w:rPr>
      </w:pPr>
      <w:r w:rsidRPr="00AE2195">
        <w:t>Thực tiễn quản lý cho thấy các nhóm sản phẩm in có tính chất, mục đích sử dụng và mức độ ảnh hưởng khác nhau; nếu áp dụng cùng một mức độ quản lý sẽ làm phân tán nguồn lực và chưa tập trung vào các sản phẩm có nguy cơ bị lợi dụng để vi phạm pháp luật, làm giả giấy tờ, tem, nhãn, bao bì hoặc xâm phạm quyền, lợi ích hợp pháp của tổ chức, cá nhân.</w:t>
      </w:r>
    </w:p>
    <w:p w14:paraId="4F8BF0B9" w14:textId="77777777" w:rsidR="00CA008E" w:rsidRPr="00AE2195" w:rsidRDefault="00CA008E" w:rsidP="00CA008E">
      <w:pPr>
        <w:spacing w:before="60" w:line="276" w:lineRule="auto"/>
        <w:rPr>
          <w:bCs/>
          <w:lang w:val="vi-VN"/>
        </w:rPr>
      </w:pPr>
      <w:r w:rsidRPr="00AE2195">
        <w:t>Dự thảo phân loại sản phẩm in theo 03 mức rủi ro: cao, trung bình và thấp trên cơ sở tính chất, nội dung, mục đích sử dụng; mức độ ảnh hưởng đến quốc phòng, an ninh, trật tự, an toàn xã hội, lợi ích công cộng, quyền và lợi ích hợp pháp của tổ chức, cá nhân; khả năng bị lợi dụng để thực hiện hành vi bị cấm, sản xuất hàng giả hoặc xâm phạm quyền sở hữu trí tuệ.</w:t>
      </w:r>
    </w:p>
    <w:p w14:paraId="469EBBDA" w14:textId="77777777" w:rsidR="00CA008E" w:rsidRPr="00AE2195" w:rsidRDefault="00CA008E" w:rsidP="00CA008E">
      <w:pPr>
        <w:spacing w:before="60" w:line="276" w:lineRule="auto"/>
        <w:rPr>
          <w:bCs/>
          <w:lang w:val="vi-VN"/>
        </w:rPr>
      </w:pPr>
      <w:r w:rsidRPr="00AE2195">
        <w:t>Tương ứng với từng mức rủi ro, dự thảo quy định yêu cầu đối với việc nhận chế bản, in, gia công sau in tại Điều 16 và các Điều 17, 18, 19. Đối với sản phẩm rủi ro cao, cơ sở in phải kiểm tra, đối chiếu tài liệu chứng minh quyền đặt in, tính hợp pháp và tính xác thực của tài liệu; đối với sản phẩm rủi ro trung bình áp dụng yêu cầu phù hợp với tính chất sản phẩm; đối với sản phẩm rủi ro thấp, cơ sở in được nhận in trên cơ sở hợp đồng và chịu trách nhiệm theo quy định.</w:t>
      </w:r>
    </w:p>
    <w:p w14:paraId="52998172" w14:textId="77777777" w:rsidR="00CA008E" w:rsidRPr="00AE2195" w:rsidRDefault="00CA008E" w:rsidP="00CA008E">
      <w:pPr>
        <w:spacing w:before="60" w:line="276" w:lineRule="auto"/>
        <w:rPr>
          <w:bCs/>
          <w:lang w:val="vi-VN"/>
        </w:rPr>
      </w:pPr>
      <w:r w:rsidRPr="00AE2195">
        <w:t>Cùng với phân loại sản phẩm, dự thảo quy định cơ sở kinh doanh dịch vụ in phải lưu giữ hồ sơ liên quan đến sản phẩm nhận chế bản, in, gia công sau in trong thời hạn 24 tháng; hồ sơ có thể được lưu giữ dưới dạng giấy hoặc điện tử. Cơ chế này tạo nguồn thông tin phục vụ kiểm tra, hậu kiểm, xác định trách nhiệm của cơ sở in và bên đặt in khi có dấu hiệu vi phạm.</w:t>
      </w:r>
    </w:p>
    <w:p w14:paraId="6607D7CA" w14:textId="77777777" w:rsidR="00CA008E" w:rsidRPr="00AE2195" w:rsidRDefault="00CA008E" w:rsidP="00CA008E">
      <w:pPr>
        <w:spacing w:before="60" w:line="276" w:lineRule="auto"/>
        <w:rPr>
          <w:bCs/>
          <w:lang w:val="vi-VN"/>
        </w:rPr>
      </w:pPr>
      <w:r w:rsidRPr="00AE2195">
        <w:t xml:space="preserve">Song song với đó, dự thảo quy định cơ chế phối hợp giữa Bộ Văn hóa, Thể thao và Du lịch với Bộ Công an, Bộ Công Thương, Bộ Tài chính và các cơ quan có </w:t>
      </w:r>
      <w:r w:rsidRPr="00AE2195">
        <w:lastRenderedPageBreak/>
        <w:t>liên quan trong phòng, chống in lậu, sản xuất hàng giả và các hành vi vi phạm pháp luật; đồng thời quy định việc kết nối, chia sẻ dữ liệu phục vụ phát hiện và xử lý vi phạm.</w:t>
      </w:r>
    </w:p>
    <w:p w14:paraId="55EE575E" w14:textId="77777777" w:rsidR="00CA008E" w:rsidRPr="00AE2195" w:rsidRDefault="00CA008E" w:rsidP="00CA008E">
      <w:pPr>
        <w:spacing w:before="60" w:line="276" w:lineRule="auto"/>
        <w:rPr>
          <w:bCs/>
          <w:lang w:val="vi-VN"/>
        </w:rPr>
      </w:pPr>
      <w:r w:rsidRPr="00AE2195">
        <w:t>Cách tiếp cận này chuyển từ kiểm soát đồng đều sang quản lý có trọng tâm, trọng điểm theo mức độ rủi ro, kết hợp trách nhiệm lưu giữ hồ sơ, khai thác dữ liệu và phối hợp liên ngành, qua đó nâng cao khả năng phòng ngừa, phát hiện và xử lý vi phạm, đồng thời giảm yêu cầu quản lý không cần thiết đối với sản phẩm có mức độ rủi ro thấp.</w:t>
      </w:r>
    </w:p>
    <w:p w14:paraId="72E660F1" w14:textId="77777777" w:rsidR="00CA008E" w:rsidRPr="00AE2195" w:rsidRDefault="00CA008E" w:rsidP="00CA008E">
      <w:pPr>
        <w:spacing w:before="60" w:line="276" w:lineRule="auto"/>
        <w:rPr>
          <w:b/>
          <w:bCs/>
          <w:lang w:val="vi-VN"/>
        </w:rPr>
      </w:pPr>
      <w:r w:rsidRPr="00AE2195">
        <w:rPr>
          <w:b/>
          <w:bCs/>
          <w:lang w:val="vi-VN"/>
        </w:rPr>
        <w:t>5. Chính sách 5. Hoàn thiện cơ chế quản lý điều kiện hoạt động và thiết bị in theo hướng hiện đại, phù hợp yêu cầu phát triển công nghệ</w:t>
      </w:r>
    </w:p>
    <w:p w14:paraId="0B2200C1" w14:textId="77777777" w:rsidR="00CA008E" w:rsidRPr="00AE2195" w:rsidRDefault="00CA008E" w:rsidP="00CA008E">
      <w:pPr>
        <w:spacing w:before="60" w:line="276" w:lineRule="auto"/>
        <w:rPr>
          <w:bCs/>
          <w:lang w:val="vi-VN"/>
        </w:rPr>
      </w:pPr>
      <w:r w:rsidRPr="00AE2195">
        <w:rPr>
          <w:bCs/>
          <w:lang w:val="vi-VN"/>
        </w:rPr>
        <w:t>Dự thảo tiếp tục duy trì cơ chế quản lý đối với điều kiện hoạt động của cơ sở in nhưng thay đổi phương thức thực hiện theo hướng đăng ký hoạt động, cập nhật dữ liệu và hậu kiểm.</w:t>
      </w:r>
    </w:p>
    <w:p w14:paraId="3283A1B0" w14:textId="77777777" w:rsidR="00CA008E" w:rsidRPr="00AE2195" w:rsidRDefault="00CA008E" w:rsidP="00CA008E">
      <w:pPr>
        <w:spacing w:before="60" w:line="276" w:lineRule="auto"/>
        <w:rPr>
          <w:bCs/>
          <w:lang w:val="vi-VN"/>
        </w:rPr>
      </w:pPr>
      <w:r w:rsidRPr="00AE2195">
        <w:rPr>
          <w:bCs/>
          <w:lang w:val="vi-VN"/>
        </w:rPr>
        <w:t xml:space="preserve">Cơ sở in phải có mặt bằng sản xuất và thiết bị phù hợp với công đoạn thực hiện và nội dung đăng ký; đối với một số nhóm sản phẩm đặc thù, phải đáp ứng thêm các điều kiện về người đứng đầu và chủ sở hữu theo quy định của dự thảo. </w:t>
      </w:r>
    </w:p>
    <w:p w14:paraId="7EDEB1E7" w14:textId="77777777" w:rsidR="00CA008E" w:rsidRPr="00AE2195" w:rsidRDefault="00CA008E" w:rsidP="00CA008E">
      <w:pPr>
        <w:spacing w:before="60" w:line="276" w:lineRule="auto"/>
        <w:rPr>
          <w:bCs/>
          <w:lang w:val="vi-VN"/>
        </w:rPr>
      </w:pPr>
      <w:r w:rsidRPr="00AE2195">
        <w:t>Đối với thiết bị in nhập khẩu, dự thảo phân loại thiết bị đã qua sử dụng thành 03 nhóm tuổi A, B, C theo Phụ lục I và áp dụng yêu cầu quản lý tương ứng. Thiết bị nhóm A được nhập khẩu khi có tài liệu xác định nguồn gốc, nước sản xuất, năm sản xuất và thông tin nhận dạng; thiết bị nhóm B phải có thêm hồ sơ tự đánh giá tình trạng kỹ thuật theo các tiêu chí tại Phụ lục II; thiết bị nhóm C chỉ được nhập khẩu khi được tổ chức kiểm định đánh giá và có chứng thư kiểm định. Thiết bị mới 100% không áp dụng yêu cầu về tuổi thiết bị và đánh giá tình trạng kỹ thuật đối với thiết bị đã qua sử dụng.</w:t>
      </w:r>
    </w:p>
    <w:p w14:paraId="405BEA5F" w14:textId="66164665" w:rsidR="00CA008E" w:rsidRPr="00AE2195" w:rsidRDefault="00CA008E" w:rsidP="00CA008E">
      <w:pPr>
        <w:spacing w:before="60" w:line="276" w:lineRule="auto"/>
        <w:rPr>
          <w:bCs/>
          <w:lang w:val="vi-VN"/>
        </w:rPr>
      </w:pPr>
      <w:r w:rsidRPr="00AE2195">
        <w:t>Thiết bị in sau khi nhập khẩu phải được cập nhật vào Cơ sở dữ liệu về hoạt động in thông qua Cổng một cửa quốc gia hoặc hệ thống thông tin được kết nối, chia sẻ với Cơ sở dữ liệu về hoạt động in; việc cập nhật thông tin này không phải là thủ tục xác nhận của cơ quan nhà nước.</w:t>
      </w:r>
    </w:p>
    <w:p w14:paraId="213B174E" w14:textId="77777777" w:rsidR="00CA008E" w:rsidRPr="00AE2195" w:rsidRDefault="00CA008E" w:rsidP="00CA008E">
      <w:pPr>
        <w:spacing w:before="60" w:line="276" w:lineRule="auto"/>
        <w:rPr>
          <w:bCs/>
          <w:lang w:val="vi-VN"/>
        </w:rPr>
      </w:pPr>
      <w:r w:rsidRPr="00AE2195">
        <w:t>Đối với thiết bị in sử dụng trong hoạt động sản xuất, kinh doanh, dự thảo quy định phải được cập nhật thông tin trên Cơ sở dữ liệu về hoạt động in, gắn với cơ sở in hoặc cơ sở dịch vụ photocopy trực tiếp quản lý, sử dụng và được tạo lập mã dữ liệu thiết bị in để định danh duy nhất, liên kết với thông tin nhận diện, chủ sở hữu, cơ sở, địa điểm sử dụng, tình trạng và lịch sử biến động của thiết bị.</w:t>
      </w:r>
    </w:p>
    <w:p w14:paraId="72F9C82D" w14:textId="77777777" w:rsidR="00CA008E" w:rsidRPr="00AE2195" w:rsidRDefault="00CA008E" w:rsidP="00CA008E">
      <w:pPr>
        <w:spacing w:before="60" w:line="276" w:lineRule="auto"/>
        <w:rPr>
          <w:bCs/>
          <w:lang w:val="vi-VN"/>
        </w:rPr>
      </w:pPr>
      <w:r w:rsidRPr="00AE2195">
        <w:t xml:space="preserve">Dữ liệu gắn với mã dữ liệu thiết bị in được sử dụng để theo dõi quá trình sở hữu, quản lý, sử dụng và biến động của thiết bị; phân tích, đánh giá mức độ rủi ro và </w:t>
      </w:r>
      <w:r w:rsidRPr="00AE2195">
        <w:lastRenderedPageBreak/>
        <w:t>phục vụ công tác kiểm tra, phát hiện, xử lý hành vi vi phạm. Việc tạo lập mã dữ liệu là một thành phần của hệ thống dữ liệu quản lý, không phải là thủ tục cấp phép riêng.</w:t>
      </w:r>
    </w:p>
    <w:p w14:paraId="339A9C12" w14:textId="7F97759E" w:rsidR="00CA008E" w:rsidRPr="00AE2195" w:rsidRDefault="00CA008E" w:rsidP="00CA008E">
      <w:pPr>
        <w:spacing w:before="60" w:line="276" w:lineRule="auto"/>
        <w:rPr>
          <w:bCs/>
          <w:lang w:val="vi-VN"/>
        </w:rPr>
      </w:pPr>
      <w:r w:rsidRPr="00AE2195">
        <w:rPr>
          <w:bCs/>
          <w:lang w:val="vi-VN"/>
        </w:rPr>
        <w:t>Nhìn tổng thể, chính sách này hướng tới việc duy trì các yêu cầu quản lý cần thiết đối với cơ sở và thiết bị in, đồng thời đơn giản hóa phương thức thực hiện, tăng cường quản lý bằng dữ liệu và hậu kiểm, qua đó tạo điều kiện thuận lợi hơn cho hoạt động đầu tư, đổi mới thiết bị và phát triển công nghệ trong ngành in.</w:t>
      </w:r>
    </w:p>
    <w:p w14:paraId="7102EBB1" w14:textId="77777777" w:rsidR="004B00B1" w:rsidRPr="00AE2195" w:rsidRDefault="004B00B1" w:rsidP="005D1090">
      <w:pPr>
        <w:spacing w:before="60" w:line="276" w:lineRule="auto"/>
        <w:rPr>
          <w:b/>
          <w:lang w:val="vi-VN"/>
        </w:rPr>
      </w:pPr>
    </w:p>
    <w:p w14:paraId="5828DA94" w14:textId="1BE10EE6" w:rsidR="00924511" w:rsidRPr="00AE2195" w:rsidRDefault="00924511" w:rsidP="005D1090">
      <w:pPr>
        <w:spacing w:before="60" w:line="276" w:lineRule="auto"/>
        <w:rPr>
          <w:b/>
          <w:lang w:val="vi-VN"/>
        </w:rPr>
      </w:pPr>
      <w:r w:rsidRPr="00AE2195">
        <w:rPr>
          <w:b/>
          <w:lang w:val="vi-VN"/>
        </w:rPr>
        <w:t>V. NHỮNG NỘI DUNG BỔ SUNG MỚI SO VỚI DỰ THẢO VĂN BẢN GỬI THẨM ĐỊNH (NẾU CÓ)</w:t>
      </w:r>
    </w:p>
    <w:p w14:paraId="325643F3" w14:textId="77777777" w:rsidR="00924511" w:rsidRPr="00AE2195" w:rsidRDefault="00924511" w:rsidP="005D1090">
      <w:pPr>
        <w:pStyle w:val="ListParagraph"/>
        <w:widowControl w:val="0"/>
        <w:tabs>
          <w:tab w:val="left" w:pos="993"/>
        </w:tabs>
        <w:spacing w:before="60" w:line="276" w:lineRule="auto"/>
        <w:ind w:left="0" w:firstLine="720"/>
        <w:jc w:val="both"/>
        <w:rPr>
          <w:rFonts w:ascii="Times New Roman" w:hAnsi="Times New Roman" w:cs="Times New Roman"/>
          <w:sz w:val="28"/>
          <w:szCs w:val="28"/>
          <w:lang w:val="nl-NL"/>
        </w:rPr>
      </w:pPr>
      <w:r w:rsidRPr="00AE2195">
        <w:rPr>
          <w:rFonts w:ascii="Times New Roman" w:hAnsi="Times New Roman" w:cs="Times New Roman"/>
          <w:sz w:val="28"/>
          <w:szCs w:val="28"/>
          <w:lang w:val="nl-NL"/>
        </w:rPr>
        <w:t>Dự thảo Tờ trình sẽ bổ sung nội dung này (nếu có) sau khi hồ sơ dự án Nghị định được Bộ Tư pháp thẩm định.</w:t>
      </w:r>
    </w:p>
    <w:p w14:paraId="32798623" w14:textId="77777777" w:rsidR="00A37980" w:rsidRPr="00AE2195" w:rsidRDefault="00A37980" w:rsidP="005D1090">
      <w:pPr>
        <w:pStyle w:val="ListParagraph"/>
        <w:widowControl w:val="0"/>
        <w:tabs>
          <w:tab w:val="left" w:pos="993"/>
        </w:tabs>
        <w:spacing w:before="60" w:line="276" w:lineRule="auto"/>
        <w:ind w:left="0" w:firstLine="720"/>
        <w:jc w:val="both"/>
        <w:rPr>
          <w:rFonts w:ascii="Times New Roman" w:hAnsi="Times New Roman" w:cs="Times New Roman"/>
          <w:sz w:val="28"/>
          <w:szCs w:val="28"/>
          <w:lang w:val="nl-NL"/>
        </w:rPr>
      </w:pPr>
    </w:p>
    <w:p w14:paraId="7B1BC3C7" w14:textId="77777777" w:rsidR="00924511" w:rsidRPr="00AE2195" w:rsidRDefault="00924511" w:rsidP="005D1090">
      <w:pPr>
        <w:spacing w:before="60" w:line="276" w:lineRule="auto"/>
        <w:rPr>
          <w:b/>
          <w:lang w:val="nl-NL"/>
        </w:rPr>
      </w:pPr>
      <w:r w:rsidRPr="00AE2195">
        <w:rPr>
          <w:b/>
          <w:lang w:val="nl-NL"/>
        </w:rPr>
        <w:t>VI. DỰ KIẾN NGUỒN LỰC, ĐIỀU KIỆN BẢO ĐẢM CHO VIỆC THI HÀNH VĂN BẢN VÀ THỜI GIAN TRÌNH THÔNG QUA/BAN HÀNH</w:t>
      </w:r>
    </w:p>
    <w:p w14:paraId="21A4EB59" w14:textId="6461AD1A" w:rsidR="008F2AA0" w:rsidRPr="00AE2195" w:rsidRDefault="008F2AA0" w:rsidP="008F2AA0">
      <w:pPr>
        <w:rPr>
          <w:b/>
          <w:lang w:val="nl-NL"/>
        </w:rPr>
      </w:pPr>
      <w:r w:rsidRPr="00AE2195">
        <w:rPr>
          <w:b/>
          <w:lang w:val="nl-NL"/>
        </w:rPr>
        <w:t>1. Nguồn lực và điều kiện bảo đảm thi hành Nghị định</w:t>
      </w:r>
    </w:p>
    <w:p w14:paraId="4EE5698E" w14:textId="6A8AA865" w:rsidR="008F2AA0" w:rsidRPr="00AE2195" w:rsidRDefault="008F2AA0" w:rsidP="008F2AA0">
      <w:pPr>
        <w:pStyle w:val="NormalWeb"/>
        <w:spacing w:before="120" w:beforeAutospacing="0" w:after="0" w:afterAutospacing="0"/>
        <w:ind w:firstLine="720"/>
        <w:jc w:val="both"/>
        <w:rPr>
          <w:sz w:val="28"/>
          <w:szCs w:val="28"/>
          <w:lang w:val="nl-NL"/>
        </w:rPr>
      </w:pPr>
      <w:r w:rsidRPr="00AE2195">
        <w:rPr>
          <w:sz w:val="28"/>
          <w:szCs w:val="28"/>
          <w:lang w:val="nl-NL"/>
        </w:rPr>
        <w:t xml:space="preserve">- Về cơ sở pháp lý: Việc thi hành Nghị định sẽ được bảo đảm thông qua việc sửa đổi, ban hành mới các văn bản hướng dẫn thi hành kịp thời sau khi Nghị định được </w:t>
      </w:r>
      <w:r w:rsidR="00B80791" w:rsidRPr="00AE2195">
        <w:rPr>
          <w:sz w:val="28"/>
          <w:szCs w:val="28"/>
          <w:lang w:val="nl-NL"/>
        </w:rPr>
        <w:t>Chính phủ</w:t>
      </w:r>
      <w:r w:rsidRPr="00AE2195">
        <w:rPr>
          <w:sz w:val="28"/>
          <w:szCs w:val="28"/>
          <w:lang w:val="nl-NL"/>
        </w:rPr>
        <w:t xml:space="preserve"> </w:t>
      </w:r>
      <w:r w:rsidR="00C709E9" w:rsidRPr="00AE2195">
        <w:rPr>
          <w:sz w:val="28"/>
          <w:szCs w:val="28"/>
          <w:lang w:val="nl-NL"/>
        </w:rPr>
        <w:t>ban hành.</w:t>
      </w:r>
    </w:p>
    <w:p w14:paraId="520F5D94" w14:textId="5C4B2818" w:rsidR="008F2AA0" w:rsidRPr="00AE2195" w:rsidRDefault="008F2AA0" w:rsidP="008F2AA0">
      <w:pPr>
        <w:pStyle w:val="NormalWeb"/>
        <w:spacing w:before="120" w:beforeAutospacing="0" w:after="0" w:afterAutospacing="0"/>
        <w:ind w:firstLine="607"/>
        <w:jc w:val="both"/>
        <w:rPr>
          <w:sz w:val="28"/>
          <w:szCs w:val="28"/>
          <w:lang w:val="nl-NL"/>
        </w:rPr>
      </w:pPr>
      <w:r w:rsidRPr="00AE2195">
        <w:rPr>
          <w:sz w:val="28"/>
          <w:szCs w:val="28"/>
          <w:lang w:val="nl-NL"/>
        </w:rPr>
        <w:t xml:space="preserve">- Về nhân sự, tổ chức bộ máy: Không phát sinh tổ chức mới hoặc tăng biên chế. Việc thực hiện dự thảo </w:t>
      </w:r>
      <w:r w:rsidR="00C709E9" w:rsidRPr="00AE2195">
        <w:rPr>
          <w:sz w:val="28"/>
          <w:szCs w:val="28"/>
          <w:lang w:val="nl-NL"/>
        </w:rPr>
        <w:t>Nghị định</w:t>
      </w:r>
      <w:r w:rsidRPr="00AE2195">
        <w:rPr>
          <w:sz w:val="28"/>
          <w:szCs w:val="28"/>
          <w:lang w:val="nl-NL"/>
        </w:rPr>
        <w:t xml:space="preserve"> gắn với quá trình tinh gọn bộ máy, chuyển đổi phương thức quản lý sang môi trường số.</w:t>
      </w:r>
    </w:p>
    <w:p w14:paraId="3285CD4F" w14:textId="77777777" w:rsidR="008F2AA0" w:rsidRPr="00AE2195" w:rsidRDefault="008F2AA0" w:rsidP="008F2AA0">
      <w:pPr>
        <w:pStyle w:val="NormalWeb"/>
        <w:spacing w:before="120" w:beforeAutospacing="0" w:after="0" w:afterAutospacing="0"/>
        <w:ind w:firstLine="607"/>
        <w:jc w:val="both"/>
        <w:rPr>
          <w:sz w:val="28"/>
          <w:szCs w:val="28"/>
          <w:lang w:val="nl-NL"/>
        </w:rPr>
      </w:pPr>
      <w:r w:rsidRPr="00AE2195">
        <w:rPr>
          <w:sz w:val="28"/>
          <w:szCs w:val="28"/>
          <w:lang w:val="nl-NL"/>
        </w:rPr>
        <w:t>- Về tài chính: Không làm</w:t>
      </w:r>
      <w:r w:rsidRPr="00AE2195">
        <w:rPr>
          <w:sz w:val="28"/>
          <w:szCs w:val="28"/>
          <w:lang w:val="vi-VN"/>
        </w:rPr>
        <w:t xml:space="preserve"> </w:t>
      </w:r>
      <w:r w:rsidRPr="00AE2195">
        <w:rPr>
          <w:sz w:val="28"/>
          <w:szCs w:val="28"/>
          <w:lang w:val="nl-NL"/>
        </w:rPr>
        <w:t>phát sinh chi ngân sách ngoài các nhiệm vụ chi thường xuyên hoặc theo chương trình/đề án của các bộ, ngành, địa phương đã được phê duyệt, phân bổ theo quy định</w:t>
      </w:r>
      <w:r w:rsidRPr="00AE2195">
        <w:rPr>
          <w:sz w:val="28"/>
          <w:szCs w:val="28"/>
          <w:lang w:val="vi-VN"/>
        </w:rPr>
        <w:t>.</w:t>
      </w:r>
      <w:r w:rsidRPr="00AE2195">
        <w:rPr>
          <w:sz w:val="28"/>
          <w:szCs w:val="28"/>
          <w:lang w:val="nl-NL"/>
        </w:rPr>
        <w:t xml:space="preserve"> </w:t>
      </w:r>
    </w:p>
    <w:p w14:paraId="522221AC" w14:textId="77777777" w:rsidR="008F2AA0" w:rsidRPr="00AE2195" w:rsidRDefault="008F2AA0" w:rsidP="008F2AA0">
      <w:pPr>
        <w:pStyle w:val="NormalWeb"/>
        <w:spacing w:before="120" w:beforeAutospacing="0" w:after="0" w:afterAutospacing="0"/>
        <w:ind w:firstLine="607"/>
        <w:jc w:val="both"/>
        <w:rPr>
          <w:b/>
          <w:sz w:val="28"/>
          <w:szCs w:val="28"/>
        </w:rPr>
      </w:pPr>
      <w:r w:rsidRPr="00AE2195">
        <w:rPr>
          <w:b/>
          <w:sz w:val="28"/>
          <w:szCs w:val="28"/>
        </w:rPr>
        <w:t>2. Thời gian trình và ban hành</w:t>
      </w:r>
    </w:p>
    <w:p w14:paraId="406DF0FE" w14:textId="6CB043E7" w:rsidR="00C709E9" w:rsidRPr="00AE2195" w:rsidRDefault="00C709E9" w:rsidP="00C709E9">
      <w:pPr>
        <w:spacing w:line="264" w:lineRule="auto"/>
      </w:pPr>
      <w:r w:rsidRPr="00AE2195">
        <w:t>Căn cứ Quyết định số 125/QĐ-TTg ngày 16 tháng 01 năm 2026 của Thủ tướng Chính phủ ban hành Chương trình công tác năm 2026 của Chính phủ đã giao Bộ Văn hóa, Thể thao và Du lịch chủ trì xây dựng Nghị định thay thế Nghị định số 60/2014/NĐ-CP ngày 19 tháng 6 năm 2014 của Chính phủ quy định về hoạt động in (đã được sửa đổi, bổ sung một số điều theo Nghị định số 25/2018/NĐ-CP và Nghị định số 72/2022/NĐ-CP), Bộ Văn hóa, Thể thao và Du lịch dự kiến trình dự thảo để Chính phủ xem xét Nghị định thay thế Nghị định số 60/2014/NĐ-CP quy định về hoạt động in vào tháng 11/2026.</w:t>
      </w:r>
    </w:p>
    <w:p w14:paraId="3934FCE4" w14:textId="77777777" w:rsidR="00924511" w:rsidRPr="00AE2195" w:rsidRDefault="00924511" w:rsidP="005D1090">
      <w:pPr>
        <w:spacing w:before="60" w:line="276" w:lineRule="auto"/>
        <w:rPr>
          <w:b/>
          <w:lang w:val="nl-NL"/>
        </w:rPr>
      </w:pPr>
      <w:r w:rsidRPr="00AE2195">
        <w:rPr>
          <w:b/>
          <w:lang w:val="nl-NL"/>
        </w:rPr>
        <w:t>VII. NHỮNG VẤN ĐỀ XIN Ý KIẾN (NẾU CÓ)………….</w:t>
      </w:r>
    </w:p>
    <w:p w14:paraId="7A9BC250" w14:textId="77777777" w:rsidR="00B80791" w:rsidRPr="00AE2195" w:rsidRDefault="00B80791" w:rsidP="005D1090">
      <w:pPr>
        <w:spacing w:before="60" w:line="276" w:lineRule="auto"/>
        <w:rPr>
          <w:lang w:val="nl-NL"/>
        </w:rPr>
      </w:pPr>
    </w:p>
    <w:p w14:paraId="40D697DC" w14:textId="67D89367" w:rsidR="00924511" w:rsidRPr="00AE2195" w:rsidRDefault="00924511" w:rsidP="005D1090">
      <w:pPr>
        <w:spacing w:before="60" w:line="276" w:lineRule="auto"/>
        <w:rPr>
          <w:rFonts w:eastAsia="Times New Roman"/>
          <w:lang w:val="nl-NL"/>
        </w:rPr>
      </w:pPr>
      <w:r w:rsidRPr="00AE2195">
        <w:rPr>
          <w:lang w:val="nl-NL"/>
        </w:rPr>
        <w:lastRenderedPageBreak/>
        <w:t xml:space="preserve">Trên đây là Tờ trình về dự </w:t>
      </w:r>
      <w:r w:rsidR="005D1090" w:rsidRPr="00AE2195">
        <w:rPr>
          <w:lang w:val="nl-NL"/>
        </w:rPr>
        <w:t>thảo</w:t>
      </w:r>
      <w:r w:rsidR="00B80791" w:rsidRPr="00AE2195">
        <w:rPr>
          <w:lang w:val="nl-NL"/>
        </w:rPr>
        <w:t xml:space="preserve"> </w:t>
      </w:r>
      <w:r w:rsidRPr="00AE2195">
        <w:rPr>
          <w:rFonts w:eastAsia="Times New Roman"/>
          <w:lang w:val="nl-NL"/>
        </w:rPr>
        <w:t xml:space="preserve">Nghị định quy định về hoạt động in thay thế Nghị định số 60/2014/NĐ-CP, Nghị định số 25/2018/NĐ-CP và Nghị định số 72/2022/NĐ-CP Bộ Văn hóa, Thể thao và Du lịch kính trình Chính phủ xem xét, ban hành. </w:t>
      </w:r>
    </w:p>
    <w:p w14:paraId="11AFE1BE" w14:textId="77777777" w:rsidR="008F2AA0" w:rsidRPr="00AE2195" w:rsidRDefault="008F2AA0" w:rsidP="008F2AA0">
      <w:pPr>
        <w:ind w:firstLine="709"/>
        <w:rPr>
          <w:i/>
          <w:lang w:val="nl-NL"/>
        </w:rPr>
      </w:pPr>
      <w:r w:rsidRPr="00AE2195">
        <w:rPr>
          <w:i/>
          <w:lang w:val="nl-NL"/>
        </w:rPr>
        <w:t>(Gửi kèm theo Tờ trình này các tài liệu sau đây:</w:t>
      </w:r>
    </w:p>
    <w:p w14:paraId="2373E9F3" w14:textId="76ED89A4" w:rsidR="008F2AA0" w:rsidRPr="00AE2195" w:rsidRDefault="008F2AA0" w:rsidP="008F2AA0">
      <w:pPr>
        <w:ind w:firstLine="709"/>
        <w:rPr>
          <w:i/>
          <w:lang w:val="nl-NL"/>
        </w:rPr>
      </w:pPr>
      <w:r w:rsidRPr="00AE2195">
        <w:rPr>
          <w:i/>
          <w:lang w:val="nl-NL"/>
        </w:rPr>
        <w:t>1. Báo cáo tóm tắt Tờ trình</w:t>
      </w:r>
      <w:r w:rsidR="00B80791" w:rsidRPr="00AE2195">
        <w:rPr>
          <w:i/>
          <w:lang w:val="nl-NL"/>
        </w:rPr>
        <w:t>;</w:t>
      </w:r>
    </w:p>
    <w:p w14:paraId="30E2E466" w14:textId="78834053" w:rsidR="008F2AA0" w:rsidRPr="00AE2195" w:rsidRDefault="008F2AA0" w:rsidP="008F2AA0">
      <w:pPr>
        <w:shd w:val="clear" w:color="auto" w:fill="FFFFFF"/>
        <w:ind w:firstLine="709"/>
        <w:rPr>
          <w:rFonts w:eastAsia="Times New Roman"/>
          <w:i/>
          <w:iCs/>
          <w:lang w:val="nl-NL"/>
        </w:rPr>
      </w:pPr>
      <w:r w:rsidRPr="00AE2195">
        <w:rPr>
          <w:rFonts w:eastAsia="Times New Roman"/>
          <w:i/>
          <w:iCs/>
          <w:lang w:val="nl-NL"/>
        </w:rPr>
        <w:t xml:space="preserve">2. Dự thảo Nghị định; </w:t>
      </w:r>
    </w:p>
    <w:p w14:paraId="0B60DDB9" w14:textId="77777777" w:rsidR="008F2AA0" w:rsidRPr="00AE2195" w:rsidRDefault="008F2AA0" w:rsidP="008F2AA0">
      <w:pPr>
        <w:shd w:val="clear" w:color="auto" w:fill="FFFFFF"/>
        <w:ind w:firstLine="709"/>
        <w:rPr>
          <w:rFonts w:eastAsia="Times New Roman"/>
          <w:i/>
          <w:iCs/>
          <w:lang w:val="nl-NL"/>
        </w:rPr>
      </w:pPr>
      <w:r w:rsidRPr="00AE2195">
        <w:rPr>
          <w:rFonts w:eastAsia="Times New Roman"/>
          <w:i/>
          <w:iCs/>
          <w:lang w:val="nl-NL"/>
        </w:rPr>
        <w:t>3. Báo cáo giải trình, tiếp thu ý kiến thẩm định;</w:t>
      </w:r>
    </w:p>
    <w:p w14:paraId="1E26AC52" w14:textId="77777777" w:rsidR="008F2AA0" w:rsidRPr="00AE2195" w:rsidRDefault="008F2AA0" w:rsidP="008F2AA0">
      <w:pPr>
        <w:shd w:val="clear" w:color="auto" w:fill="FFFFFF"/>
        <w:ind w:firstLine="709"/>
        <w:rPr>
          <w:rFonts w:eastAsia="Times New Roman"/>
          <w:i/>
          <w:iCs/>
          <w:lang w:val="nl-NL"/>
        </w:rPr>
      </w:pPr>
      <w:r w:rsidRPr="00AE2195">
        <w:rPr>
          <w:rFonts w:eastAsia="Times New Roman"/>
          <w:i/>
          <w:iCs/>
          <w:lang w:val="nl-NL"/>
        </w:rPr>
        <w:t>4. Báo cáo tổng kết việc thi hành pháp luật hoặc đánh giá thực trạng quan hệ xã hội liên quan đến dự thảo;</w:t>
      </w:r>
    </w:p>
    <w:p w14:paraId="4CAD7C69" w14:textId="77777777" w:rsidR="008F2AA0" w:rsidRPr="00AE2195" w:rsidRDefault="008F2AA0" w:rsidP="008F2AA0">
      <w:pPr>
        <w:shd w:val="clear" w:color="auto" w:fill="FFFFFF"/>
        <w:ind w:firstLine="709"/>
        <w:rPr>
          <w:rFonts w:eastAsia="Times New Roman"/>
          <w:i/>
          <w:iCs/>
          <w:lang w:val="nl-NL"/>
        </w:rPr>
      </w:pPr>
      <w:r w:rsidRPr="00AE2195">
        <w:rPr>
          <w:rFonts w:eastAsia="Times New Roman"/>
          <w:i/>
          <w:iCs/>
          <w:lang w:val="nl-NL"/>
        </w:rPr>
        <w:t>5. Báo cáo rà soát các chủ trương, đường lối của Đảng, văn bản quy phạm pháp luật, điều ước quốc tế có liên quan đến dự thảo;</w:t>
      </w:r>
    </w:p>
    <w:p w14:paraId="368AB1F2" w14:textId="290836FE" w:rsidR="008F2AA0" w:rsidRPr="00AE2195" w:rsidRDefault="008F2AA0" w:rsidP="008F2AA0">
      <w:pPr>
        <w:shd w:val="clear" w:color="auto" w:fill="FFFFFF"/>
        <w:ind w:firstLine="709"/>
        <w:rPr>
          <w:rFonts w:eastAsia="Times New Roman"/>
          <w:i/>
          <w:iCs/>
          <w:lang w:val="nl-NL"/>
        </w:rPr>
      </w:pPr>
      <w:r w:rsidRPr="00AE2195">
        <w:rPr>
          <w:rFonts w:eastAsia="Times New Roman"/>
          <w:i/>
          <w:iCs/>
          <w:lang w:val="nl-NL"/>
        </w:rPr>
        <w:t xml:space="preserve">6. Báo cáo đánh giá tác động của chính sách trong dự thảo </w:t>
      </w:r>
      <w:r w:rsidR="00B80791" w:rsidRPr="00AE2195">
        <w:rPr>
          <w:rFonts w:eastAsia="Times New Roman"/>
          <w:i/>
          <w:iCs/>
          <w:lang w:val="nl-NL"/>
        </w:rPr>
        <w:t>Nghị định;</w:t>
      </w:r>
    </w:p>
    <w:p w14:paraId="01D956AD" w14:textId="60E1E551" w:rsidR="008F2AA0" w:rsidRPr="00AE2195" w:rsidRDefault="008F2AA0" w:rsidP="008F2AA0">
      <w:pPr>
        <w:shd w:val="clear" w:color="auto" w:fill="FFFFFF"/>
        <w:ind w:firstLine="709"/>
        <w:rPr>
          <w:rFonts w:eastAsia="Times New Roman"/>
          <w:i/>
          <w:iCs/>
          <w:lang w:val="nl-NL"/>
        </w:rPr>
      </w:pPr>
      <w:r w:rsidRPr="00AE2195">
        <w:rPr>
          <w:rFonts w:eastAsia="Times New Roman"/>
          <w:i/>
          <w:iCs/>
          <w:lang w:val="nl-NL"/>
        </w:rPr>
        <w:t>7. Bản đánh giá thủ tục hành chính, việc phân quyền, phân cấp, bảo đảm bình đẳng giới, chính sách dân tộc (kèm theo</w:t>
      </w:r>
      <w:r w:rsidR="007D1647" w:rsidRPr="00AE2195">
        <w:rPr>
          <w:rFonts w:eastAsia="Times New Roman"/>
          <w:i/>
          <w:iCs/>
          <w:lang w:val="nl-NL"/>
        </w:rPr>
        <w:t xml:space="preserve"> 04 </w:t>
      </w:r>
      <w:r w:rsidRPr="00AE2195">
        <w:rPr>
          <w:rFonts w:eastAsia="Times New Roman"/>
          <w:i/>
          <w:iCs/>
          <w:lang w:val="nl-NL"/>
        </w:rPr>
        <w:t>phụ lục);</w:t>
      </w:r>
    </w:p>
    <w:p w14:paraId="46A200B7" w14:textId="6AD2765B" w:rsidR="008F2AA0" w:rsidRPr="00AE2195" w:rsidRDefault="008F2AA0" w:rsidP="008F2AA0">
      <w:pPr>
        <w:shd w:val="clear" w:color="auto" w:fill="FFFFFF"/>
        <w:ind w:firstLine="709"/>
        <w:rPr>
          <w:rFonts w:eastAsia="Times New Roman"/>
          <w:i/>
          <w:iCs/>
          <w:spacing w:val="-6"/>
          <w:lang w:val="nl-NL"/>
        </w:rPr>
      </w:pPr>
      <w:r w:rsidRPr="00AE2195">
        <w:rPr>
          <w:rFonts w:eastAsia="Times New Roman"/>
          <w:i/>
          <w:iCs/>
          <w:lang w:val="nl-NL"/>
        </w:rPr>
        <w:t xml:space="preserve">8. </w:t>
      </w:r>
      <w:r w:rsidRPr="00AE2195">
        <w:rPr>
          <w:rFonts w:eastAsia="Times New Roman"/>
          <w:i/>
          <w:iCs/>
          <w:spacing w:val="-6"/>
          <w:lang w:val="nl-NL"/>
        </w:rPr>
        <w:t>Bản so sánh thuyết minh dự thảo Luật sửa đổi, bổ sung với luật hiện hành;</w:t>
      </w:r>
    </w:p>
    <w:p w14:paraId="50023A05" w14:textId="684FD23F" w:rsidR="008F2AA0" w:rsidRPr="00AE2195" w:rsidRDefault="00B80791" w:rsidP="008F2AA0">
      <w:pPr>
        <w:shd w:val="clear" w:color="auto" w:fill="FFFFFF"/>
        <w:ind w:firstLine="709"/>
        <w:rPr>
          <w:rFonts w:eastAsia="Times New Roman"/>
          <w:i/>
          <w:iCs/>
          <w:lang w:val="nl-NL"/>
        </w:rPr>
      </w:pPr>
      <w:r w:rsidRPr="00AE2195">
        <w:rPr>
          <w:rFonts w:eastAsia="Times New Roman"/>
          <w:i/>
          <w:iCs/>
          <w:lang w:val="nl-NL"/>
        </w:rPr>
        <w:t>9</w:t>
      </w:r>
      <w:r w:rsidR="008F2AA0" w:rsidRPr="00AE2195">
        <w:rPr>
          <w:rFonts w:eastAsia="Times New Roman"/>
          <w:i/>
          <w:iCs/>
          <w:lang w:val="nl-NL"/>
        </w:rPr>
        <w:t>. Bản tổng hợp tiếp thu, giải trình ý kiến góp ý của các cơ quan, tổ chức, doanh nghiệp chịu sự điều chỉnh của</w:t>
      </w:r>
      <w:r w:rsidR="002C1F7D" w:rsidRPr="00AE2195">
        <w:rPr>
          <w:rFonts w:eastAsia="Times New Roman"/>
          <w:i/>
          <w:iCs/>
          <w:lang w:val="nl-NL"/>
        </w:rPr>
        <w:t xml:space="preserve"> Nghị định</w:t>
      </w:r>
      <w:r w:rsidR="008F2AA0" w:rsidRPr="00AE2195">
        <w:rPr>
          <w:rFonts w:eastAsia="Times New Roman"/>
          <w:i/>
          <w:iCs/>
          <w:lang w:val="nl-NL"/>
        </w:rPr>
        <w:t>;</w:t>
      </w:r>
    </w:p>
    <w:p w14:paraId="5F7C2777" w14:textId="2CB6ABE7" w:rsidR="00B80791" w:rsidRPr="00AE2195" w:rsidRDefault="00B80791" w:rsidP="00B80791">
      <w:pPr>
        <w:ind w:firstLine="709"/>
        <w:rPr>
          <w:i/>
          <w:iCs/>
          <w:lang w:val="vi-VN"/>
        </w:rPr>
      </w:pPr>
      <w:r w:rsidRPr="00AE2195">
        <w:rPr>
          <w:rFonts w:eastAsia="Times New Roman"/>
          <w:i/>
          <w:iCs/>
          <w:lang w:val="nl-NL"/>
        </w:rPr>
        <w:t>10.</w:t>
      </w:r>
      <w:r w:rsidRPr="00AE2195">
        <w:rPr>
          <w:rFonts w:eastAsia="Times New Roman"/>
          <w:i/>
          <w:iCs/>
          <w:lang w:val="vi-VN"/>
        </w:rPr>
        <w:t xml:space="preserve"> </w:t>
      </w:r>
      <w:r w:rsidRPr="00AE2195">
        <w:rPr>
          <w:i/>
          <w:iCs/>
          <w:lang w:val="nl-NL"/>
        </w:rPr>
        <w:t>Tài liệu chuyên đề nghiên cứu kinh nghiệm quốc tế về pháp luật của một số quốc gia trên thế giới và bài học kinh nghiệm đối với Việt Nam</w:t>
      </w:r>
      <w:r w:rsidRPr="00AE2195">
        <w:rPr>
          <w:i/>
          <w:iCs/>
          <w:lang w:val="vi-VN"/>
        </w:rPr>
        <w:t>.</w:t>
      </w:r>
    </w:p>
    <w:p w14:paraId="597458B6" w14:textId="77777777" w:rsidR="00B80791" w:rsidRPr="00AE2195" w:rsidRDefault="00B80791" w:rsidP="008F2AA0">
      <w:pPr>
        <w:shd w:val="clear" w:color="auto" w:fill="FFFFFF"/>
        <w:ind w:firstLine="709"/>
        <w:rPr>
          <w:rFonts w:eastAsia="Times New Roman"/>
          <w:i/>
          <w:iCs/>
          <w:lang w:val="nl-NL"/>
        </w:rPr>
      </w:pPr>
    </w:p>
    <w:p w14:paraId="75C0528F" w14:textId="77777777" w:rsidR="00924511" w:rsidRPr="00AE2195" w:rsidRDefault="00924511" w:rsidP="005D1090">
      <w:pPr>
        <w:spacing w:before="60" w:line="276" w:lineRule="auto"/>
        <w:ind w:firstLine="709"/>
        <w:rPr>
          <w:i/>
          <w:lang w:val="nl-NL"/>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678"/>
      </w:tblGrid>
      <w:tr w:rsidR="00924511" w:rsidRPr="00AE2195" w14:paraId="44CC7C7A" w14:textId="77777777" w:rsidTr="005D1090">
        <w:trPr>
          <w:trHeight w:val="2738"/>
        </w:trPr>
        <w:tc>
          <w:tcPr>
            <w:tcW w:w="5245" w:type="dxa"/>
          </w:tcPr>
          <w:p w14:paraId="6E2C3B99" w14:textId="77777777" w:rsidR="00924511" w:rsidRPr="00AE2195" w:rsidRDefault="00924511" w:rsidP="005D1090">
            <w:pPr>
              <w:jc w:val="both"/>
              <w:rPr>
                <w:rFonts w:ascii="Times New Roman" w:hAnsi="Times New Roman" w:cs="Times New Roman"/>
                <w:i/>
                <w:sz w:val="28"/>
                <w:szCs w:val="28"/>
                <w:lang w:val="nl-NL"/>
              </w:rPr>
            </w:pPr>
            <w:r w:rsidRPr="00AE2195">
              <w:rPr>
                <w:rFonts w:ascii="Times New Roman" w:hAnsi="Times New Roman" w:cs="Times New Roman"/>
                <w:b/>
                <w:i/>
                <w:sz w:val="28"/>
                <w:szCs w:val="28"/>
                <w:lang w:val="nl-NL"/>
              </w:rPr>
              <w:t>Nơi nhận</w:t>
            </w:r>
            <w:r w:rsidRPr="00AE2195">
              <w:rPr>
                <w:rFonts w:ascii="Times New Roman" w:hAnsi="Times New Roman" w:cs="Times New Roman"/>
                <w:i/>
                <w:sz w:val="28"/>
                <w:szCs w:val="28"/>
                <w:lang w:val="nl-NL"/>
              </w:rPr>
              <w:t>:</w:t>
            </w:r>
          </w:p>
          <w:p w14:paraId="7C59E211" w14:textId="77777777" w:rsidR="00B80791" w:rsidRPr="00AE2195" w:rsidRDefault="00B80791" w:rsidP="00B80791">
            <w:pPr>
              <w:jc w:val="both"/>
              <w:rPr>
                <w:rFonts w:ascii="Times New Roman" w:hAnsi="Times New Roman" w:cs="Times New Roman"/>
                <w:sz w:val="22"/>
                <w:lang w:val="nl-NL"/>
              </w:rPr>
            </w:pPr>
            <w:r w:rsidRPr="00AE2195">
              <w:rPr>
                <w:rFonts w:ascii="Times New Roman" w:hAnsi="Times New Roman" w:cs="Times New Roman"/>
                <w:sz w:val="22"/>
                <w:lang w:val="nl-NL"/>
              </w:rPr>
              <w:t>- Như trên;</w:t>
            </w:r>
          </w:p>
          <w:p w14:paraId="1F42A050" w14:textId="77777777" w:rsidR="00B80791" w:rsidRPr="00AE2195" w:rsidRDefault="00B80791" w:rsidP="00B80791">
            <w:pPr>
              <w:jc w:val="both"/>
              <w:rPr>
                <w:rFonts w:ascii="Times New Roman" w:hAnsi="Times New Roman" w:cs="Times New Roman"/>
                <w:sz w:val="22"/>
                <w:lang w:val="nl-NL"/>
              </w:rPr>
            </w:pPr>
            <w:r w:rsidRPr="00AE2195">
              <w:rPr>
                <w:rFonts w:ascii="Times New Roman" w:hAnsi="Times New Roman" w:cs="Times New Roman"/>
                <w:sz w:val="22"/>
                <w:lang w:val="nl-NL"/>
              </w:rPr>
              <w:t>- Thủ tướng Chính phủ (để b/c)</w:t>
            </w:r>
            <w:r w:rsidRPr="00AE2195">
              <w:rPr>
                <w:rFonts w:ascii="Times New Roman" w:hAnsi="Times New Roman" w:cs="Times New Roman"/>
                <w:sz w:val="22"/>
                <w:lang w:val="vi-VN"/>
              </w:rPr>
              <w:t>;</w:t>
            </w:r>
          </w:p>
          <w:p w14:paraId="5A0CD389" w14:textId="77777777" w:rsidR="00B80791" w:rsidRPr="00AE2195" w:rsidRDefault="00B80791" w:rsidP="00B80791">
            <w:pPr>
              <w:jc w:val="both"/>
              <w:rPr>
                <w:rFonts w:ascii="Times New Roman" w:hAnsi="Times New Roman" w:cs="Times New Roman"/>
                <w:sz w:val="22"/>
                <w:lang w:val="vi-VN"/>
              </w:rPr>
            </w:pPr>
            <w:r w:rsidRPr="00AE2195">
              <w:rPr>
                <w:rFonts w:ascii="Times New Roman" w:hAnsi="Times New Roman" w:cs="Times New Roman"/>
                <w:sz w:val="22"/>
                <w:lang w:val="nl-NL"/>
              </w:rPr>
              <w:t>- Các Phó Thủ tướng Chính phủ (để b/c)</w:t>
            </w:r>
            <w:r w:rsidRPr="00AE2195">
              <w:rPr>
                <w:rFonts w:ascii="Times New Roman" w:hAnsi="Times New Roman" w:cs="Times New Roman"/>
                <w:sz w:val="22"/>
                <w:lang w:val="vi-VN"/>
              </w:rPr>
              <w:t>;</w:t>
            </w:r>
          </w:p>
          <w:p w14:paraId="391C0AA2" w14:textId="77777777" w:rsidR="00B80791" w:rsidRPr="00AE2195" w:rsidRDefault="00B80791" w:rsidP="00B80791">
            <w:pPr>
              <w:jc w:val="both"/>
              <w:rPr>
                <w:rFonts w:ascii="Times New Roman" w:hAnsi="Times New Roman" w:cs="Times New Roman"/>
                <w:sz w:val="22"/>
                <w:lang w:val="vi-VN"/>
              </w:rPr>
            </w:pPr>
            <w:r w:rsidRPr="00AE2195">
              <w:rPr>
                <w:rFonts w:ascii="Times New Roman" w:hAnsi="Times New Roman" w:cs="Times New Roman"/>
                <w:sz w:val="22"/>
                <w:lang w:val="vi-VN"/>
              </w:rPr>
              <w:t>- Bộ trưởng (để b/c);</w:t>
            </w:r>
          </w:p>
          <w:p w14:paraId="03D0B6DB" w14:textId="77777777" w:rsidR="00B80791" w:rsidRPr="00AE2195" w:rsidRDefault="00B80791" w:rsidP="00B80791">
            <w:pPr>
              <w:jc w:val="both"/>
              <w:rPr>
                <w:rFonts w:ascii="Times New Roman" w:hAnsi="Times New Roman" w:cs="Times New Roman"/>
                <w:sz w:val="22"/>
                <w:lang w:val="vi-VN"/>
              </w:rPr>
            </w:pPr>
            <w:r w:rsidRPr="00AE2195">
              <w:rPr>
                <w:rFonts w:ascii="Times New Roman" w:hAnsi="Times New Roman" w:cs="Times New Roman"/>
                <w:sz w:val="22"/>
                <w:lang w:val="vi-VN"/>
              </w:rPr>
              <w:t>- Ban Thường vụ Đảng uỷ Bộ VHTTDL;</w:t>
            </w:r>
          </w:p>
          <w:p w14:paraId="7903A667" w14:textId="77777777" w:rsidR="00B80791" w:rsidRPr="00AE2195" w:rsidRDefault="00B80791" w:rsidP="00B80791">
            <w:pPr>
              <w:jc w:val="both"/>
              <w:rPr>
                <w:rFonts w:ascii="Times New Roman" w:hAnsi="Times New Roman" w:cs="Times New Roman"/>
                <w:sz w:val="22"/>
                <w:lang w:val="vi-VN"/>
              </w:rPr>
            </w:pPr>
            <w:r w:rsidRPr="00AE2195">
              <w:rPr>
                <w:rFonts w:ascii="Times New Roman" w:hAnsi="Times New Roman" w:cs="Times New Roman"/>
                <w:sz w:val="22"/>
                <w:lang w:val="vi-VN"/>
              </w:rPr>
              <w:t>- Văn phòng Chính phủ;</w:t>
            </w:r>
          </w:p>
          <w:p w14:paraId="1C13BC20" w14:textId="77777777" w:rsidR="00B80791" w:rsidRPr="00AE2195" w:rsidRDefault="00B80791" w:rsidP="00B80791">
            <w:pPr>
              <w:jc w:val="both"/>
              <w:rPr>
                <w:rFonts w:ascii="Times New Roman" w:hAnsi="Times New Roman" w:cs="Times New Roman"/>
                <w:sz w:val="22"/>
                <w:lang w:val="vi-VN"/>
              </w:rPr>
            </w:pPr>
            <w:r w:rsidRPr="00AE2195">
              <w:rPr>
                <w:rFonts w:ascii="Times New Roman" w:hAnsi="Times New Roman" w:cs="Times New Roman"/>
                <w:sz w:val="22"/>
                <w:lang w:val="vi-VN"/>
              </w:rPr>
              <w:t>- Các Bộ: TP, NG, KHCN, CA, QP, NV, TC;</w:t>
            </w:r>
          </w:p>
          <w:p w14:paraId="3C24D118" w14:textId="77777777" w:rsidR="00B80791" w:rsidRPr="00AE2195" w:rsidRDefault="00B80791" w:rsidP="00B80791">
            <w:pPr>
              <w:spacing w:before="60" w:line="276" w:lineRule="auto"/>
              <w:rPr>
                <w:rFonts w:eastAsia="Times New Roman"/>
              </w:rPr>
            </w:pPr>
            <w:r w:rsidRPr="00AE2195">
              <w:rPr>
                <w:rFonts w:ascii="Times New Roman" w:hAnsi="Times New Roman" w:cs="Times New Roman"/>
                <w:sz w:val="22"/>
              </w:rPr>
              <w:t>- Lưu: VT, XBIPH.</w:t>
            </w:r>
          </w:p>
          <w:p w14:paraId="08FA58AB" w14:textId="77777777" w:rsidR="00924511" w:rsidRPr="00AE2195" w:rsidRDefault="00924511" w:rsidP="005D1090">
            <w:pPr>
              <w:jc w:val="both"/>
              <w:rPr>
                <w:rFonts w:ascii="Times New Roman" w:hAnsi="Times New Roman" w:cs="Times New Roman"/>
                <w:sz w:val="28"/>
                <w:szCs w:val="28"/>
              </w:rPr>
            </w:pPr>
          </w:p>
        </w:tc>
        <w:tc>
          <w:tcPr>
            <w:tcW w:w="4678" w:type="dxa"/>
          </w:tcPr>
          <w:p w14:paraId="07285F4F" w14:textId="77777777" w:rsidR="00924511" w:rsidRPr="00AE2195" w:rsidRDefault="00924511" w:rsidP="005D1090">
            <w:pPr>
              <w:tabs>
                <w:tab w:val="left" w:pos="1110"/>
              </w:tabs>
              <w:jc w:val="center"/>
              <w:rPr>
                <w:rFonts w:ascii="Times New Roman" w:hAnsi="Times New Roman" w:cs="Times New Roman"/>
                <w:b/>
                <w:sz w:val="28"/>
                <w:szCs w:val="28"/>
              </w:rPr>
            </w:pPr>
            <w:r w:rsidRPr="00AE2195">
              <w:rPr>
                <w:rFonts w:ascii="Times New Roman" w:hAnsi="Times New Roman" w:cs="Times New Roman"/>
                <w:b/>
                <w:sz w:val="28"/>
                <w:szCs w:val="28"/>
              </w:rPr>
              <w:t xml:space="preserve">BỘ TRƯỞNG </w:t>
            </w:r>
          </w:p>
          <w:p w14:paraId="32DCFC3E" w14:textId="77777777" w:rsidR="00924511" w:rsidRPr="00AE2195" w:rsidRDefault="00924511" w:rsidP="005D1090">
            <w:pPr>
              <w:tabs>
                <w:tab w:val="left" w:pos="1110"/>
              </w:tabs>
              <w:jc w:val="center"/>
              <w:rPr>
                <w:rFonts w:ascii="Times New Roman" w:hAnsi="Times New Roman" w:cs="Times New Roman"/>
                <w:b/>
                <w:sz w:val="28"/>
                <w:szCs w:val="28"/>
              </w:rPr>
            </w:pPr>
          </w:p>
          <w:p w14:paraId="62C5A63F" w14:textId="77777777" w:rsidR="00924511" w:rsidRPr="00AE2195" w:rsidRDefault="00924511" w:rsidP="005D1090">
            <w:pPr>
              <w:tabs>
                <w:tab w:val="left" w:pos="1110"/>
              </w:tabs>
              <w:jc w:val="center"/>
              <w:rPr>
                <w:rFonts w:ascii="Times New Roman" w:hAnsi="Times New Roman" w:cs="Times New Roman"/>
                <w:b/>
                <w:sz w:val="28"/>
                <w:szCs w:val="28"/>
              </w:rPr>
            </w:pPr>
          </w:p>
          <w:p w14:paraId="5387A2EA" w14:textId="77777777" w:rsidR="00924511" w:rsidRPr="00AE2195" w:rsidRDefault="00924511" w:rsidP="005D1090">
            <w:pPr>
              <w:tabs>
                <w:tab w:val="left" w:pos="1110"/>
              </w:tabs>
              <w:jc w:val="center"/>
              <w:rPr>
                <w:rFonts w:ascii="Times New Roman" w:hAnsi="Times New Roman" w:cs="Times New Roman"/>
                <w:b/>
                <w:sz w:val="28"/>
                <w:szCs w:val="28"/>
              </w:rPr>
            </w:pPr>
          </w:p>
          <w:p w14:paraId="1581D7A8" w14:textId="77777777" w:rsidR="00924511" w:rsidRPr="00AE2195" w:rsidRDefault="00924511" w:rsidP="005D1090">
            <w:pPr>
              <w:tabs>
                <w:tab w:val="left" w:pos="1110"/>
              </w:tabs>
              <w:jc w:val="center"/>
              <w:rPr>
                <w:rFonts w:ascii="Times New Roman" w:hAnsi="Times New Roman" w:cs="Times New Roman"/>
                <w:b/>
                <w:sz w:val="28"/>
                <w:szCs w:val="28"/>
              </w:rPr>
            </w:pPr>
          </w:p>
          <w:p w14:paraId="313B0A0B" w14:textId="77777777" w:rsidR="00924511" w:rsidRPr="00AE2195" w:rsidRDefault="00924511" w:rsidP="005D1090">
            <w:pPr>
              <w:tabs>
                <w:tab w:val="left" w:pos="1110"/>
              </w:tabs>
              <w:jc w:val="center"/>
              <w:rPr>
                <w:rFonts w:ascii="Times New Roman" w:hAnsi="Times New Roman" w:cs="Times New Roman"/>
                <w:b/>
                <w:sz w:val="28"/>
                <w:szCs w:val="28"/>
              </w:rPr>
            </w:pPr>
          </w:p>
          <w:p w14:paraId="40FD22CF" w14:textId="77777777" w:rsidR="00924511" w:rsidRPr="00AE2195" w:rsidRDefault="00924511" w:rsidP="005D1090">
            <w:pPr>
              <w:tabs>
                <w:tab w:val="left" w:pos="1110"/>
              </w:tabs>
              <w:jc w:val="center"/>
              <w:rPr>
                <w:rFonts w:ascii="Times New Roman" w:hAnsi="Times New Roman" w:cs="Times New Roman"/>
                <w:b/>
                <w:sz w:val="28"/>
                <w:szCs w:val="28"/>
              </w:rPr>
            </w:pPr>
          </w:p>
          <w:p w14:paraId="4A2D3EBC" w14:textId="154E2201" w:rsidR="00924511" w:rsidRPr="00AE2195" w:rsidRDefault="00F66E94" w:rsidP="005D1090">
            <w:pPr>
              <w:jc w:val="center"/>
              <w:rPr>
                <w:rFonts w:ascii="Times New Roman" w:hAnsi="Times New Roman" w:cs="Times New Roman"/>
                <w:sz w:val="28"/>
                <w:szCs w:val="28"/>
                <w:lang w:val="vi-VN"/>
              </w:rPr>
            </w:pPr>
            <w:r w:rsidRPr="00AE2195">
              <w:rPr>
                <w:rFonts w:ascii="Times New Roman" w:hAnsi="Times New Roman" w:cs="Times New Roman"/>
                <w:b/>
                <w:sz w:val="28"/>
                <w:szCs w:val="28"/>
                <w:lang w:val="vi-VN"/>
              </w:rPr>
              <w:t>Lâm Thị Phương Thanh</w:t>
            </w:r>
          </w:p>
        </w:tc>
      </w:tr>
    </w:tbl>
    <w:p w14:paraId="73D0276A" w14:textId="6B766BC5" w:rsidR="00924511" w:rsidRPr="00AE2195" w:rsidRDefault="00924511" w:rsidP="00B80791">
      <w:pPr>
        <w:rPr>
          <w:rFonts w:eastAsia="Times New Roman"/>
        </w:rPr>
      </w:pPr>
    </w:p>
    <w:sectPr w:rsidR="00924511" w:rsidRPr="00AE2195" w:rsidSect="00702F83">
      <w:headerReference w:type="default" r:id="rId8"/>
      <w:pgSz w:w="12240" w:h="15840"/>
      <w:pgMar w:top="1134" w:right="1134" w:bottom="851"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C44E3" w14:textId="77777777" w:rsidR="00AC342D" w:rsidRDefault="00AC342D" w:rsidP="00702F83">
      <w:pPr>
        <w:spacing w:before="0"/>
      </w:pPr>
      <w:r>
        <w:separator/>
      </w:r>
    </w:p>
  </w:endnote>
  <w:endnote w:type="continuationSeparator" w:id="0">
    <w:p w14:paraId="3457CF51" w14:textId="77777777" w:rsidR="00AC342D" w:rsidRDefault="00AC342D" w:rsidP="00702F8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27B76" w14:textId="77777777" w:rsidR="00AC342D" w:rsidRDefault="00AC342D" w:rsidP="00702F83">
      <w:pPr>
        <w:spacing w:before="0"/>
      </w:pPr>
      <w:r>
        <w:separator/>
      </w:r>
    </w:p>
  </w:footnote>
  <w:footnote w:type="continuationSeparator" w:id="0">
    <w:p w14:paraId="6E8FA70C" w14:textId="77777777" w:rsidR="00AC342D" w:rsidRDefault="00AC342D" w:rsidP="00702F83">
      <w:pPr>
        <w:spacing w:before="0"/>
      </w:pPr>
      <w:r>
        <w:continuationSeparator/>
      </w:r>
    </w:p>
  </w:footnote>
  <w:footnote w:id="1">
    <w:p w14:paraId="3A279E04" w14:textId="41B5AFA9" w:rsidR="00B618B9" w:rsidRDefault="00B618B9">
      <w:pPr>
        <w:pStyle w:val="FootnoteText"/>
      </w:pPr>
      <w:r w:rsidRPr="00AE2195">
        <w:rPr>
          <w:rStyle w:val="FootnoteReference"/>
        </w:rPr>
        <w:footnoteRef/>
      </w:r>
      <w:r w:rsidRPr="00AE2195">
        <w:t xml:space="preserve"> </w:t>
      </w:r>
      <w:r w:rsidRPr="00AE2195">
        <w:rPr>
          <w:rFonts w:ascii="Times New Roman" w:hAnsi="Times New Roman" w:cs="Times New Roman"/>
          <w:sz w:val="20"/>
          <w:szCs w:val="20"/>
        </w:rPr>
        <w:t>Báo cáo số …..</w:t>
      </w:r>
    </w:p>
  </w:footnote>
  <w:footnote w:id="2">
    <w:p w14:paraId="1170646B" w14:textId="0343DFD8" w:rsidR="00541FAF" w:rsidRPr="00AE2195" w:rsidRDefault="00541FAF" w:rsidP="00541FAF">
      <w:pPr>
        <w:pStyle w:val="FootnoteText"/>
        <w:jc w:val="both"/>
        <w:rPr>
          <w:sz w:val="20"/>
        </w:rPr>
      </w:pPr>
      <w:r w:rsidRPr="00AE2195">
        <w:rPr>
          <w:rStyle w:val="FootnoteReference"/>
          <w:rFonts w:ascii="Times New Roman" w:hAnsi="Times New Roman" w:cs="Times New Roman"/>
          <w:sz w:val="20"/>
        </w:rPr>
        <w:footnoteRef/>
      </w:r>
      <w:r w:rsidRPr="00AE2195">
        <w:rPr>
          <w:rFonts w:ascii="Times New Roman" w:hAnsi="Times New Roman" w:cs="Times New Roman"/>
          <w:sz w:val="20"/>
        </w:rPr>
        <w:t xml:space="preserve"> </w:t>
      </w:r>
      <w:r w:rsidR="00B618B9" w:rsidRPr="00AE2195">
        <w:rPr>
          <w:rFonts w:ascii="Times New Roman" w:hAnsi="Times New Roman" w:cs="Times New Roman"/>
          <w:sz w:val="20"/>
        </w:rPr>
        <w:t>Đ</w:t>
      </w:r>
      <w:r w:rsidRPr="00AE2195">
        <w:rPr>
          <w:rFonts w:ascii="Times New Roman" w:hAnsi="Times New Roman" w:cs="Times New Roman"/>
          <w:sz w:val="20"/>
        </w:rPr>
        <w:t xml:space="preserve">ã tổ chức khoảng </w:t>
      </w:r>
      <w:r w:rsidR="00B618B9" w:rsidRPr="00AE2195">
        <w:rPr>
          <w:rFonts w:ascii="Times New Roman" w:hAnsi="Times New Roman" w:cs="Times New Roman"/>
          <w:sz w:val="20"/>
        </w:rPr>
        <w:t>….</w:t>
      </w:r>
      <w:r w:rsidRPr="00AE2195">
        <w:rPr>
          <w:rFonts w:ascii="Times New Roman" w:hAnsi="Times New Roman" w:cs="Times New Roman"/>
          <w:sz w:val="20"/>
        </w:rPr>
        <w:t>hội nghị, hội thảo trong nước.</w:t>
      </w:r>
    </w:p>
  </w:footnote>
  <w:footnote w:id="3">
    <w:p w14:paraId="1FC9136C" w14:textId="30A9A6F1" w:rsidR="00541FAF" w:rsidRPr="00F93A7A" w:rsidRDefault="00541FAF" w:rsidP="00541FAF">
      <w:pPr>
        <w:pStyle w:val="FootnoteText"/>
        <w:jc w:val="both"/>
      </w:pPr>
      <w:r w:rsidRPr="00AE2195">
        <w:rPr>
          <w:rStyle w:val="FootnoteReference"/>
          <w:sz w:val="20"/>
        </w:rPr>
        <w:footnoteRef/>
      </w:r>
      <w:r w:rsidRPr="00AE2195">
        <w:rPr>
          <w:rFonts w:ascii="Times New Roman" w:hAnsi="Times New Roman" w:cs="Times New Roman"/>
          <w:sz w:val="20"/>
        </w:rPr>
        <w:t xml:space="preserve"> </w:t>
      </w:r>
      <w:r w:rsidR="00B618B9" w:rsidRPr="00AE2195">
        <w:rPr>
          <w:rFonts w:ascii="Times New Roman" w:hAnsi="Times New Roman" w:cs="Times New Roman"/>
          <w:sz w:val="20"/>
        </w:rPr>
        <w:t>Hồ sơ đăng tải ngày….</w:t>
      </w:r>
      <w:r w:rsidR="003C2E03" w:rsidRPr="00AE2195">
        <w:rPr>
          <w:rFonts w:ascii="Times New Roman" w:hAnsi="Times New Roman" w:cs="Times New Roman"/>
          <w:sz w:val="20"/>
        </w:rPr>
        <w:t>, số … góp ý bằng văn bản…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419748"/>
      <w:docPartObj>
        <w:docPartGallery w:val="Page Numbers (Top of Page)"/>
        <w:docPartUnique/>
      </w:docPartObj>
    </w:sdtPr>
    <w:sdtEndPr>
      <w:rPr>
        <w:noProof/>
      </w:rPr>
    </w:sdtEndPr>
    <w:sdtContent>
      <w:p w14:paraId="1DE62305" w14:textId="7D14AD61" w:rsidR="00702F83" w:rsidRDefault="00702F83">
        <w:pPr>
          <w:pStyle w:val="Header"/>
          <w:jc w:val="center"/>
        </w:pPr>
        <w:r>
          <w:fldChar w:fldCharType="begin"/>
        </w:r>
        <w:r>
          <w:instrText xml:space="preserve"> PAGE   \* MERGEFORMAT </w:instrText>
        </w:r>
        <w:r>
          <w:fldChar w:fldCharType="separate"/>
        </w:r>
        <w:r w:rsidR="007D1647">
          <w:rPr>
            <w:noProof/>
          </w:rPr>
          <w:t>12</w:t>
        </w:r>
        <w:r>
          <w:rPr>
            <w:noProof/>
          </w:rPr>
          <w:fldChar w:fldCharType="end"/>
        </w:r>
      </w:p>
    </w:sdtContent>
  </w:sdt>
  <w:p w14:paraId="20DA2A4B" w14:textId="77777777" w:rsidR="00702F83" w:rsidRDefault="00702F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66161"/>
    <w:multiLevelType w:val="hybridMultilevel"/>
    <w:tmpl w:val="AD261140"/>
    <w:lvl w:ilvl="0" w:tplc="B6BCD7A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3B62619A"/>
    <w:multiLevelType w:val="hybridMultilevel"/>
    <w:tmpl w:val="E08ABEC0"/>
    <w:lvl w:ilvl="0" w:tplc="1C7C4AFA">
      <w:start w:val="1"/>
      <w:numFmt w:val="decimal"/>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DD57E2A"/>
    <w:multiLevelType w:val="hybridMultilevel"/>
    <w:tmpl w:val="95C89082"/>
    <w:lvl w:ilvl="0" w:tplc="C02E15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F83"/>
    <w:rsid w:val="00024919"/>
    <w:rsid w:val="000B713E"/>
    <w:rsid w:val="000C6B30"/>
    <w:rsid w:val="000D29D7"/>
    <w:rsid w:val="00114126"/>
    <w:rsid w:val="001177F2"/>
    <w:rsid w:val="00272B8D"/>
    <w:rsid w:val="002A003E"/>
    <w:rsid w:val="002B3E95"/>
    <w:rsid w:val="002C1F7D"/>
    <w:rsid w:val="003C2E03"/>
    <w:rsid w:val="003D04FA"/>
    <w:rsid w:val="003F758F"/>
    <w:rsid w:val="00406F28"/>
    <w:rsid w:val="004B00B1"/>
    <w:rsid w:val="00541FAF"/>
    <w:rsid w:val="005849DF"/>
    <w:rsid w:val="005D1090"/>
    <w:rsid w:val="005F7377"/>
    <w:rsid w:val="0065032F"/>
    <w:rsid w:val="006978FA"/>
    <w:rsid w:val="006F1B44"/>
    <w:rsid w:val="00702F83"/>
    <w:rsid w:val="00737EB7"/>
    <w:rsid w:val="00786760"/>
    <w:rsid w:val="007B6E8B"/>
    <w:rsid w:val="007D1647"/>
    <w:rsid w:val="008779E7"/>
    <w:rsid w:val="008806E7"/>
    <w:rsid w:val="008E4886"/>
    <w:rsid w:val="008F0B82"/>
    <w:rsid w:val="008F2AA0"/>
    <w:rsid w:val="00912005"/>
    <w:rsid w:val="00915CDE"/>
    <w:rsid w:val="009229DC"/>
    <w:rsid w:val="00924511"/>
    <w:rsid w:val="00933B41"/>
    <w:rsid w:val="009B199D"/>
    <w:rsid w:val="009C6834"/>
    <w:rsid w:val="009E118D"/>
    <w:rsid w:val="00A37980"/>
    <w:rsid w:val="00A571E5"/>
    <w:rsid w:val="00A62C54"/>
    <w:rsid w:val="00A96B5E"/>
    <w:rsid w:val="00AC342D"/>
    <w:rsid w:val="00AE2195"/>
    <w:rsid w:val="00B31E4C"/>
    <w:rsid w:val="00B32685"/>
    <w:rsid w:val="00B35D5B"/>
    <w:rsid w:val="00B618B9"/>
    <w:rsid w:val="00B80791"/>
    <w:rsid w:val="00BE0A97"/>
    <w:rsid w:val="00BF2EE0"/>
    <w:rsid w:val="00BF786A"/>
    <w:rsid w:val="00C0676A"/>
    <w:rsid w:val="00C6662F"/>
    <w:rsid w:val="00C709E9"/>
    <w:rsid w:val="00C90358"/>
    <w:rsid w:val="00CA008E"/>
    <w:rsid w:val="00CA5E14"/>
    <w:rsid w:val="00CC62F5"/>
    <w:rsid w:val="00CD6EC8"/>
    <w:rsid w:val="00D04712"/>
    <w:rsid w:val="00D32626"/>
    <w:rsid w:val="00D60B7C"/>
    <w:rsid w:val="00D80981"/>
    <w:rsid w:val="00D94223"/>
    <w:rsid w:val="00DC6B27"/>
    <w:rsid w:val="00E31EC2"/>
    <w:rsid w:val="00F20CA1"/>
    <w:rsid w:val="00F419D1"/>
    <w:rsid w:val="00F66E94"/>
    <w:rsid w:val="00F811C2"/>
    <w:rsid w:val="00FA17E5"/>
    <w:rsid w:val="00FB4E4B"/>
    <w:rsid w:val="00FC3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3A1EE"/>
  <w15:chartTrackingRefBased/>
  <w15:docId w15:val="{609363D3-0541-43C6-AC08-4E85EB124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spacing w:before="12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02F83"/>
    <w:pPr>
      <w:spacing w:before="100" w:beforeAutospacing="1" w:after="100" w:afterAutospacing="1"/>
      <w:ind w:firstLine="0"/>
      <w:jc w:val="left"/>
      <w:outlineLvl w:val="0"/>
    </w:pPr>
    <w:rPr>
      <w:rFonts w:eastAsia="Times New Roman"/>
      <w:b/>
      <w:bCs/>
      <w:kern w:val="36"/>
      <w:sz w:val="48"/>
      <w:szCs w:val="48"/>
    </w:rPr>
  </w:style>
  <w:style w:type="paragraph" w:styleId="Heading2">
    <w:name w:val="heading 2"/>
    <w:basedOn w:val="Normal"/>
    <w:link w:val="Heading2Char"/>
    <w:uiPriority w:val="9"/>
    <w:qFormat/>
    <w:rsid w:val="00702F83"/>
    <w:pPr>
      <w:spacing w:before="100" w:beforeAutospacing="1" w:after="100" w:afterAutospacing="1"/>
      <w:ind w:firstLine="0"/>
      <w:jc w:val="left"/>
      <w:outlineLvl w:val="1"/>
    </w:pPr>
    <w:rPr>
      <w:rFonts w:eastAsia="Times New Roman"/>
      <w:b/>
      <w:bCs/>
      <w:sz w:val="36"/>
      <w:szCs w:val="36"/>
    </w:rPr>
  </w:style>
  <w:style w:type="paragraph" w:styleId="Heading3">
    <w:name w:val="heading 3"/>
    <w:basedOn w:val="Normal"/>
    <w:link w:val="Heading3Char"/>
    <w:uiPriority w:val="9"/>
    <w:qFormat/>
    <w:rsid w:val="00702F83"/>
    <w:pPr>
      <w:spacing w:before="100" w:beforeAutospacing="1" w:after="100" w:afterAutospacing="1"/>
      <w:ind w:firstLine="0"/>
      <w:jc w:val="left"/>
      <w:outlineLvl w:val="2"/>
    </w:pPr>
    <w:rPr>
      <w:rFonts w:eastAsia="Times New Roman"/>
      <w:b/>
      <w:bCs/>
      <w:sz w:val="27"/>
      <w:szCs w:val="27"/>
    </w:rPr>
  </w:style>
  <w:style w:type="paragraph" w:styleId="Heading8">
    <w:name w:val="heading 8"/>
    <w:basedOn w:val="Normal"/>
    <w:next w:val="Normal"/>
    <w:link w:val="Heading8Char"/>
    <w:uiPriority w:val="9"/>
    <w:semiHidden/>
    <w:unhideWhenUsed/>
    <w:qFormat/>
    <w:rsid w:val="005D1090"/>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2F83"/>
    <w:rPr>
      <w:rFonts w:eastAsia="Times New Roman"/>
      <w:b/>
      <w:bCs/>
      <w:kern w:val="36"/>
      <w:sz w:val="48"/>
      <w:szCs w:val="48"/>
    </w:rPr>
  </w:style>
  <w:style w:type="character" w:customStyle="1" w:styleId="Heading2Char">
    <w:name w:val="Heading 2 Char"/>
    <w:basedOn w:val="DefaultParagraphFont"/>
    <w:link w:val="Heading2"/>
    <w:uiPriority w:val="9"/>
    <w:rsid w:val="00702F83"/>
    <w:rPr>
      <w:rFonts w:eastAsia="Times New Roman"/>
      <w:b/>
      <w:bCs/>
      <w:sz w:val="36"/>
      <w:szCs w:val="36"/>
    </w:rPr>
  </w:style>
  <w:style w:type="character" w:customStyle="1" w:styleId="Heading3Char">
    <w:name w:val="Heading 3 Char"/>
    <w:basedOn w:val="DefaultParagraphFont"/>
    <w:link w:val="Heading3"/>
    <w:uiPriority w:val="9"/>
    <w:rsid w:val="00702F83"/>
    <w:rPr>
      <w:rFonts w:eastAsia="Times New Roman"/>
      <w:b/>
      <w:bCs/>
      <w:sz w:val="27"/>
      <w:szCs w:val="27"/>
    </w:rPr>
  </w:style>
  <w:style w:type="character" w:styleId="Strong">
    <w:name w:val="Strong"/>
    <w:basedOn w:val="DefaultParagraphFont"/>
    <w:uiPriority w:val="22"/>
    <w:qFormat/>
    <w:rsid w:val="00702F83"/>
    <w:rPr>
      <w:b/>
      <w:bCs/>
    </w:rPr>
  </w:style>
  <w:style w:type="paragraph" w:styleId="NormalWeb">
    <w:name w:val="Normal (Web)"/>
    <w:aliases w:val="Обычный (веб)1,Обычный (веб) Знак,Обычный (веб) Знак1,Обычный (веб) Знак Знак,webb,Char Char Char,Char Char,Normal (Web) Char1,Char8 Char,Char8, Char Char, Char8 Char, Char8,Geneva 9,표준 (웹),Char Char5,Normal (Web) Char Char Char Char Char"/>
    <w:basedOn w:val="Normal"/>
    <w:link w:val="NormalWebChar"/>
    <w:uiPriority w:val="99"/>
    <w:unhideWhenUsed/>
    <w:qFormat/>
    <w:rsid w:val="00702F83"/>
    <w:pPr>
      <w:spacing w:before="100" w:beforeAutospacing="1" w:after="100" w:afterAutospacing="1"/>
      <w:ind w:firstLine="0"/>
      <w:jc w:val="left"/>
    </w:pPr>
    <w:rPr>
      <w:rFonts w:eastAsia="Times New Roman"/>
      <w:sz w:val="24"/>
      <w:szCs w:val="24"/>
    </w:rPr>
  </w:style>
  <w:style w:type="paragraph" w:styleId="Header">
    <w:name w:val="header"/>
    <w:basedOn w:val="Normal"/>
    <w:link w:val="HeaderChar"/>
    <w:uiPriority w:val="99"/>
    <w:unhideWhenUsed/>
    <w:rsid w:val="00702F83"/>
    <w:pPr>
      <w:tabs>
        <w:tab w:val="center" w:pos="4680"/>
        <w:tab w:val="right" w:pos="9360"/>
      </w:tabs>
      <w:spacing w:before="0"/>
    </w:pPr>
  </w:style>
  <w:style w:type="character" w:customStyle="1" w:styleId="HeaderChar">
    <w:name w:val="Header Char"/>
    <w:basedOn w:val="DefaultParagraphFont"/>
    <w:link w:val="Header"/>
    <w:uiPriority w:val="99"/>
    <w:rsid w:val="00702F83"/>
  </w:style>
  <w:style w:type="paragraph" w:styleId="Footer">
    <w:name w:val="footer"/>
    <w:basedOn w:val="Normal"/>
    <w:link w:val="FooterChar"/>
    <w:uiPriority w:val="99"/>
    <w:unhideWhenUsed/>
    <w:rsid w:val="00702F83"/>
    <w:pPr>
      <w:tabs>
        <w:tab w:val="center" w:pos="4680"/>
        <w:tab w:val="right" w:pos="9360"/>
      </w:tabs>
      <w:spacing w:before="0"/>
    </w:pPr>
  </w:style>
  <w:style w:type="character" w:customStyle="1" w:styleId="FooterChar">
    <w:name w:val="Footer Char"/>
    <w:basedOn w:val="DefaultParagraphFont"/>
    <w:link w:val="Footer"/>
    <w:uiPriority w:val="99"/>
    <w:rsid w:val="00702F83"/>
  </w:style>
  <w:style w:type="paragraph" w:styleId="ListParagraph">
    <w:name w:val="List Paragraph"/>
    <w:aliases w:val="lp1,List Paragraph2,List Paragraph1,Colorful List - Accent 12"/>
    <w:basedOn w:val="Normal"/>
    <w:link w:val="ListParagraphChar"/>
    <w:uiPriority w:val="34"/>
    <w:qFormat/>
    <w:rsid w:val="00915CDE"/>
    <w:pPr>
      <w:spacing w:before="0"/>
      <w:ind w:left="720" w:firstLine="0"/>
      <w:contextualSpacing/>
      <w:jc w:val="left"/>
    </w:pPr>
    <w:rPr>
      <w:rFonts w:asciiTheme="minorHAnsi" w:hAnsiTheme="minorHAnsi" w:cstheme="minorBidi"/>
      <w:sz w:val="24"/>
      <w:szCs w:val="24"/>
    </w:rPr>
  </w:style>
  <w:style w:type="character" w:customStyle="1" w:styleId="ListParagraphChar">
    <w:name w:val="List Paragraph Char"/>
    <w:aliases w:val="lp1 Char,List Paragraph2 Char,List Paragraph1 Char,Colorful List - Accent 12 Char"/>
    <w:link w:val="ListParagraph"/>
    <w:uiPriority w:val="34"/>
    <w:locked/>
    <w:rsid w:val="00915CDE"/>
    <w:rPr>
      <w:rFonts w:asciiTheme="minorHAnsi" w:hAnsiTheme="minorHAnsi" w:cstheme="minorBidi"/>
      <w:sz w:val="24"/>
      <w:szCs w:val="24"/>
    </w:rPr>
  </w:style>
  <w:style w:type="table" w:styleId="TableGrid">
    <w:name w:val="Table Grid"/>
    <w:basedOn w:val="TableNormal"/>
    <w:uiPriority w:val="39"/>
    <w:rsid w:val="00924511"/>
    <w:pPr>
      <w:spacing w:before="0"/>
      <w:ind w:firstLine="0"/>
      <w:jc w:val="left"/>
    </w:pPr>
    <w:rPr>
      <w:rFonts w:ascii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5D1090"/>
    <w:rPr>
      <w:rFonts w:asciiTheme="majorHAnsi" w:eastAsiaTheme="majorEastAsia" w:hAnsiTheme="majorHAnsi" w:cstheme="majorBidi"/>
      <w:color w:val="272727" w:themeColor="text1" w:themeTint="D8"/>
      <w:sz w:val="21"/>
      <w:szCs w:val="21"/>
    </w:rPr>
  </w:style>
  <w:style w:type="paragraph" w:styleId="BalloonText">
    <w:name w:val="Balloon Text"/>
    <w:basedOn w:val="Normal"/>
    <w:link w:val="BalloonTextChar"/>
    <w:uiPriority w:val="99"/>
    <w:semiHidden/>
    <w:unhideWhenUsed/>
    <w:rsid w:val="00912005"/>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2005"/>
    <w:rPr>
      <w:rFonts w:ascii="Segoe UI" w:hAnsi="Segoe UI" w:cs="Segoe UI"/>
      <w:sz w:val="18"/>
      <w:szCs w:val="1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footnote text"/>
    <w:basedOn w:val="Normal"/>
    <w:link w:val="FootnoteTextChar"/>
    <w:uiPriority w:val="99"/>
    <w:unhideWhenUsed/>
    <w:qFormat/>
    <w:rsid w:val="00541FAF"/>
    <w:pPr>
      <w:spacing w:before="0"/>
      <w:ind w:firstLine="0"/>
      <w:jc w:val="left"/>
    </w:pPr>
    <w:rPr>
      <w:rFonts w:asciiTheme="minorHAnsi" w:hAnsiTheme="minorHAnsi" w:cstheme="minorBidi"/>
      <w:sz w:val="24"/>
      <w:szCs w:val="24"/>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uiPriority w:val="99"/>
    <w:qFormat/>
    <w:rsid w:val="00541FAF"/>
    <w:rPr>
      <w:rFonts w:asciiTheme="minorHAnsi" w:hAnsiTheme="minorHAnsi" w:cstheme="minorBidi"/>
      <w:sz w:val="24"/>
      <w:szCs w:val="24"/>
    </w:rPr>
  </w:style>
  <w:style w:type="character" w:styleId="FootnoteReference">
    <w:name w:val="footnote reference"/>
    <w:aliases w:val="Footnote,Footnote text,ftref,Footnote Text1,f,BearingPoint,16 Point,Superscript 6 Point,fr,Footnote Text Char Char Char Char Char Char Ch Char Char Char Char Char Char C,Ref,de nota al pie,Footnote + Arial,10 pt,Black,Footnote Text11"/>
    <w:basedOn w:val="DefaultParagraphFont"/>
    <w:link w:val="CharChar1CharCharCharChar1CharCharCharCharCharCharCharChar"/>
    <w:uiPriority w:val="99"/>
    <w:unhideWhenUsed/>
    <w:qFormat/>
    <w:rsid w:val="00541FAF"/>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541FAF"/>
    <w:pPr>
      <w:spacing w:before="0" w:after="160" w:line="240" w:lineRule="exact"/>
      <w:ind w:firstLine="0"/>
      <w:jc w:val="left"/>
    </w:pPr>
    <w:rPr>
      <w:vertAlign w:val="superscript"/>
    </w:rPr>
  </w:style>
  <w:style w:type="character" w:customStyle="1" w:styleId="NormalWebChar">
    <w:name w:val="Normal (Web) Char"/>
    <w:aliases w:val="Обычный (веб)1 Char,Обычный (веб) Знак Char,Обычный (веб) Знак1 Char,Обычный (веб) Знак Знак Char,webb Char,Char Char Char Char,Char Char Char1,Normal (Web) Char1 Char,Char8 Char Char,Char8 Char1, Char Char Char, Char8 Char Char"/>
    <w:link w:val="NormalWeb"/>
    <w:uiPriority w:val="99"/>
    <w:qFormat/>
    <w:locked/>
    <w:rsid w:val="00541FAF"/>
    <w:rPr>
      <w:rFonts w:eastAsia="Times New Roman"/>
      <w:sz w:val="24"/>
      <w:szCs w:val="24"/>
    </w:rPr>
  </w:style>
  <w:style w:type="paragraph" w:customStyle="1" w:styleId="pdq2pgselectionanchorcontainer">
    <w:name w:val="pdq2pg_selectionanchorcontainer"/>
    <w:basedOn w:val="Normal"/>
    <w:rsid w:val="00B32685"/>
    <w:pPr>
      <w:spacing w:before="100" w:beforeAutospacing="1" w:after="100" w:afterAutospacing="1"/>
      <w:ind w:firstLine="0"/>
      <w:jc w:val="left"/>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49443">
      <w:bodyDiv w:val="1"/>
      <w:marLeft w:val="0"/>
      <w:marRight w:val="0"/>
      <w:marTop w:val="0"/>
      <w:marBottom w:val="0"/>
      <w:divBdr>
        <w:top w:val="none" w:sz="0" w:space="0" w:color="auto"/>
        <w:left w:val="none" w:sz="0" w:space="0" w:color="auto"/>
        <w:bottom w:val="none" w:sz="0" w:space="0" w:color="auto"/>
        <w:right w:val="none" w:sz="0" w:space="0" w:color="auto"/>
      </w:divBdr>
    </w:div>
    <w:div w:id="167327228">
      <w:bodyDiv w:val="1"/>
      <w:marLeft w:val="0"/>
      <w:marRight w:val="0"/>
      <w:marTop w:val="0"/>
      <w:marBottom w:val="0"/>
      <w:divBdr>
        <w:top w:val="none" w:sz="0" w:space="0" w:color="auto"/>
        <w:left w:val="none" w:sz="0" w:space="0" w:color="auto"/>
        <w:bottom w:val="none" w:sz="0" w:space="0" w:color="auto"/>
        <w:right w:val="none" w:sz="0" w:space="0" w:color="auto"/>
      </w:divBdr>
    </w:div>
    <w:div w:id="513111076">
      <w:bodyDiv w:val="1"/>
      <w:marLeft w:val="0"/>
      <w:marRight w:val="0"/>
      <w:marTop w:val="0"/>
      <w:marBottom w:val="0"/>
      <w:divBdr>
        <w:top w:val="none" w:sz="0" w:space="0" w:color="auto"/>
        <w:left w:val="none" w:sz="0" w:space="0" w:color="auto"/>
        <w:bottom w:val="none" w:sz="0" w:space="0" w:color="auto"/>
        <w:right w:val="none" w:sz="0" w:space="0" w:color="auto"/>
      </w:divBdr>
    </w:div>
    <w:div w:id="692610272">
      <w:bodyDiv w:val="1"/>
      <w:marLeft w:val="0"/>
      <w:marRight w:val="0"/>
      <w:marTop w:val="0"/>
      <w:marBottom w:val="0"/>
      <w:divBdr>
        <w:top w:val="none" w:sz="0" w:space="0" w:color="auto"/>
        <w:left w:val="none" w:sz="0" w:space="0" w:color="auto"/>
        <w:bottom w:val="none" w:sz="0" w:space="0" w:color="auto"/>
        <w:right w:val="none" w:sz="0" w:space="0" w:color="auto"/>
      </w:divBdr>
    </w:div>
    <w:div w:id="959343666">
      <w:bodyDiv w:val="1"/>
      <w:marLeft w:val="0"/>
      <w:marRight w:val="0"/>
      <w:marTop w:val="0"/>
      <w:marBottom w:val="0"/>
      <w:divBdr>
        <w:top w:val="none" w:sz="0" w:space="0" w:color="auto"/>
        <w:left w:val="none" w:sz="0" w:space="0" w:color="auto"/>
        <w:bottom w:val="none" w:sz="0" w:space="0" w:color="auto"/>
        <w:right w:val="none" w:sz="0" w:space="0" w:color="auto"/>
      </w:divBdr>
    </w:div>
    <w:div w:id="970090804">
      <w:bodyDiv w:val="1"/>
      <w:marLeft w:val="0"/>
      <w:marRight w:val="0"/>
      <w:marTop w:val="0"/>
      <w:marBottom w:val="0"/>
      <w:divBdr>
        <w:top w:val="none" w:sz="0" w:space="0" w:color="auto"/>
        <w:left w:val="none" w:sz="0" w:space="0" w:color="auto"/>
        <w:bottom w:val="none" w:sz="0" w:space="0" w:color="auto"/>
        <w:right w:val="none" w:sz="0" w:space="0" w:color="auto"/>
      </w:divBdr>
      <w:divsChild>
        <w:div w:id="360936975">
          <w:marLeft w:val="0"/>
          <w:marRight w:val="0"/>
          <w:marTop w:val="0"/>
          <w:marBottom w:val="0"/>
          <w:divBdr>
            <w:top w:val="none" w:sz="0" w:space="0" w:color="auto"/>
            <w:left w:val="none" w:sz="0" w:space="0" w:color="auto"/>
            <w:bottom w:val="none" w:sz="0" w:space="0" w:color="auto"/>
            <w:right w:val="none" w:sz="0" w:space="0" w:color="auto"/>
          </w:divBdr>
          <w:divsChild>
            <w:div w:id="987630396">
              <w:marLeft w:val="0"/>
              <w:marRight w:val="0"/>
              <w:marTop w:val="0"/>
              <w:marBottom w:val="0"/>
              <w:divBdr>
                <w:top w:val="none" w:sz="0" w:space="0" w:color="auto"/>
                <w:left w:val="none" w:sz="0" w:space="0" w:color="auto"/>
                <w:bottom w:val="none" w:sz="0" w:space="0" w:color="auto"/>
                <w:right w:val="none" w:sz="0" w:space="0" w:color="auto"/>
              </w:divBdr>
              <w:divsChild>
                <w:div w:id="784621469">
                  <w:marLeft w:val="0"/>
                  <w:marRight w:val="0"/>
                  <w:marTop w:val="0"/>
                  <w:marBottom w:val="0"/>
                  <w:divBdr>
                    <w:top w:val="none" w:sz="0" w:space="0" w:color="auto"/>
                    <w:left w:val="none" w:sz="0" w:space="0" w:color="auto"/>
                    <w:bottom w:val="none" w:sz="0" w:space="0" w:color="auto"/>
                    <w:right w:val="none" w:sz="0" w:space="0" w:color="auto"/>
                  </w:divBdr>
                  <w:divsChild>
                    <w:div w:id="1338190038">
                      <w:marLeft w:val="0"/>
                      <w:marRight w:val="0"/>
                      <w:marTop w:val="0"/>
                      <w:marBottom w:val="0"/>
                      <w:divBdr>
                        <w:top w:val="none" w:sz="0" w:space="0" w:color="auto"/>
                        <w:left w:val="none" w:sz="0" w:space="0" w:color="auto"/>
                        <w:bottom w:val="none" w:sz="0" w:space="0" w:color="auto"/>
                        <w:right w:val="none" w:sz="0" w:space="0" w:color="auto"/>
                      </w:divBdr>
                      <w:divsChild>
                        <w:div w:id="1500579032">
                          <w:marLeft w:val="0"/>
                          <w:marRight w:val="0"/>
                          <w:marTop w:val="0"/>
                          <w:marBottom w:val="0"/>
                          <w:divBdr>
                            <w:top w:val="none" w:sz="0" w:space="0" w:color="auto"/>
                            <w:left w:val="none" w:sz="0" w:space="0" w:color="auto"/>
                            <w:bottom w:val="none" w:sz="0" w:space="0" w:color="auto"/>
                            <w:right w:val="none" w:sz="0" w:space="0" w:color="auto"/>
                          </w:divBdr>
                          <w:divsChild>
                            <w:div w:id="1529684893">
                              <w:marLeft w:val="0"/>
                              <w:marRight w:val="0"/>
                              <w:marTop w:val="0"/>
                              <w:marBottom w:val="0"/>
                              <w:divBdr>
                                <w:top w:val="none" w:sz="0" w:space="0" w:color="auto"/>
                                <w:left w:val="none" w:sz="0" w:space="0" w:color="auto"/>
                                <w:bottom w:val="none" w:sz="0" w:space="0" w:color="auto"/>
                                <w:right w:val="none" w:sz="0" w:space="0" w:color="auto"/>
                              </w:divBdr>
                              <w:divsChild>
                                <w:div w:id="76367509">
                                  <w:marLeft w:val="0"/>
                                  <w:marRight w:val="0"/>
                                  <w:marTop w:val="0"/>
                                  <w:marBottom w:val="0"/>
                                  <w:divBdr>
                                    <w:top w:val="none" w:sz="0" w:space="0" w:color="auto"/>
                                    <w:left w:val="none" w:sz="0" w:space="0" w:color="auto"/>
                                    <w:bottom w:val="none" w:sz="0" w:space="0" w:color="auto"/>
                                    <w:right w:val="none" w:sz="0" w:space="0" w:color="auto"/>
                                  </w:divBdr>
                                  <w:divsChild>
                                    <w:div w:id="112226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5208010">
      <w:bodyDiv w:val="1"/>
      <w:marLeft w:val="0"/>
      <w:marRight w:val="0"/>
      <w:marTop w:val="0"/>
      <w:marBottom w:val="0"/>
      <w:divBdr>
        <w:top w:val="none" w:sz="0" w:space="0" w:color="auto"/>
        <w:left w:val="none" w:sz="0" w:space="0" w:color="auto"/>
        <w:bottom w:val="none" w:sz="0" w:space="0" w:color="auto"/>
        <w:right w:val="none" w:sz="0" w:space="0" w:color="auto"/>
      </w:divBdr>
    </w:div>
    <w:div w:id="1129981016">
      <w:bodyDiv w:val="1"/>
      <w:marLeft w:val="0"/>
      <w:marRight w:val="0"/>
      <w:marTop w:val="0"/>
      <w:marBottom w:val="0"/>
      <w:divBdr>
        <w:top w:val="none" w:sz="0" w:space="0" w:color="auto"/>
        <w:left w:val="none" w:sz="0" w:space="0" w:color="auto"/>
        <w:bottom w:val="none" w:sz="0" w:space="0" w:color="auto"/>
        <w:right w:val="none" w:sz="0" w:space="0" w:color="auto"/>
      </w:divBdr>
    </w:div>
    <w:div w:id="1280531378">
      <w:bodyDiv w:val="1"/>
      <w:marLeft w:val="0"/>
      <w:marRight w:val="0"/>
      <w:marTop w:val="0"/>
      <w:marBottom w:val="0"/>
      <w:divBdr>
        <w:top w:val="none" w:sz="0" w:space="0" w:color="auto"/>
        <w:left w:val="none" w:sz="0" w:space="0" w:color="auto"/>
        <w:bottom w:val="none" w:sz="0" w:space="0" w:color="auto"/>
        <w:right w:val="none" w:sz="0" w:space="0" w:color="auto"/>
      </w:divBdr>
      <w:divsChild>
        <w:div w:id="1286228996">
          <w:marLeft w:val="0"/>
          <w:marRight w:val="0"/>
          <w:marTop w:val="0"/>
          <w:marBottom w:val="0"/>
          <w:divBdr>
            <w:top w:val="none" w:sz="0" w:space="0" w:color="auto"/>
            <w:left w:val="none" w:sz="0" w:space="0" w:color="auto"/>
            <w:bottom w:val="none" w:sz="0" w:space="0" w:color="auto"/>
            <w:right w:val="none" w:sz="0" w:space="0" w:color="auto"/>
          </w:divBdr>
          <w:divsChild>
            <w:div w:id="1906136375">
              <w:marLeft w:val="0"/>
              <w:marRight w:val="0"/>
              <w:marTop w:val="0"/>
              <w:marBottom w:val="0"/>
              <w:divBdr>
                <w:top w:val="none" w:sz="0" w:space="0" w:color="auto"/>
                <w:left w:val="none" w:sz="0" w:space="0" w:color="auto"/>
                <w:bottom w:val="none" w:sz="0" w:space="0" w:color="auto"/>
                <w:right w:val="none" w:sz="0" w:space="0" w:color="auto"/>
              </w:divBdr>
              <w:divsChild>
                <w:div w:id="185558546">
                  <w:marLeft w:val="0"/>
                  <w:marRight w:val="0"/>
                  <w:marTop w:val="0"/>
                  <w:marBottom w:val="0"/>
                  <w:divBdr>
                    <w:top w:val="none" w:sz="0" w:space="0" w:color="auto"/>
                    <w:left w:val="none" w:sz="0" w:space="0" w:color="auto"/>
                    <w:bottom w:val="none" w:sz="0" w:space="0" w:color="auto"/>
                    <w:right w:val="none" w:sz="0" w:space="0" w:color="auto"/>
                  </w:divBdr>
                  <w:divsChild>
                    <w:div w:id="1328559602">
                      <w:marLeft w:val="0"/>
                      <w:marRight w:val="0"/>
                      <w:marTop w:val="0"/>
                      <w:marBottom w:val="0"/>
                      <w:divBdr>
                        <w:top w:val="none" w:sz="0" w:space="0" w:color="auto"/>
                        <w:left w:val="none" w:sz="0" w:space="0" w:color="auto"/>
                        <w:bottom w:val="none" w:sz="0" w:space="0" w:color="auto"/>
                        <w:right w:val="none" w:sz="0" w:space="0" w:color="auto"/>
                      </w:divBdr>
                      <w:divsChild>
                        <w:div w:id="1008405260">
                          <w:marLeft w:val="0"/>
                          <w:marRight w:val="0"/>
                          <w:marTop w:val="0"/>
                          <w:marBottom w:val="0"/>
                          <w:divBdr>
                            <w:top w:val="none" w:sz="0" w:space="0" w:color="auto"/>
                            <w:left w:val="none" w:sz="0" w:space="0" w:color="auto"/>
                            <w:bottom w:val="none" w:sz="0" w:space="0" w:color="auto"/>
                            <w:right w:val="none" w:sz="0" w:space="0" w:color="auto"/>
                          </w:divBdr>
                          <w:divsChild>
                            <w:div w:id="197914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144170">
      <w:bodyDiv w:val="1"/>
      <w:marLeft w:val="0"/>
      <w:marRight w:val="0"/>
      <w:marTop w:val="0"/>
      <w:marBottom w:val="0"/>
      <w:divBdr>
        <w:top w:val="none" w:sz="0" w:space="0" w:color="auto"/>
        <w:left w:val="none" w:sz="0" w:space="0" w:color="auto"/>
        <w:bottom w:val="none" w:sz="0" w:space="0" w:color="auto"/>
        <w:right w:val="none" w:sz="0" w:space="0" w:color="auto"/>
      </w:divBdr>
      <w:divsChild>
        <w:div w:id="2010448849">
          <w:marLeft w:val="0"/>
          <w:marRight w:val="0"/>
          <w:marTop w:val="0"/>
          <w:marBottom w:val="0"/>
          <w:divBdr>
            <w:top w:val="none" w:sz="0" w:space="0" w:color="auto"/>
            <w:left w:val="none" w:sz="0" w:space="0" w:color="auto"/>
            <w:bottom w:val="none" w:sz="0" w:space="0" w:color="auto"/>
            <w:right w:val="none" w:sz="0" w:space="0" w:color="auto"/>
          </w:divBdr>
          <w:divsChild>
            <w:div w:id="2054651886">
              <w:marLeft w:val="0"/>
              <w:marRight w:val="0"/>
              <w:marTop w:val="0"/>
              <w:marBottom w:val="0"/>
              <w:divBdr>
                <w:top w:val="none" w:sz="0" w:space="0" w:color="auto"/>
                <w:left w:val="none" w:sz="0" w:space="0" w:color="auto"/>
                <w:bottom w:val="none" w:sz="0" w:space="0" w:color="auto"/>
                <w:right w:val="none" w:sz="0" w:space="0" w:color="auto"/>
              </w:divBdr>
              <w:divsChild>
                <w:div w:id="847905375">
                  <w:marLeft w:val="0"/>
                  <w:marRight w:val="0"/>
                  <w:marTop w:val="0"/>
                  <w:marBottom w:val="0"/>
                  <w:divBdr>
                    <w:top w:val="none" w:sz="0" w:space="0" w:color="auto"/>
                    <w:left w:val="none" w:sz="0" w:space="0" w:color="auto"/>
                    <w:bottom w:val="none" w:sz="0" w:space="0" w:color="auto"/>
                    <w:right w:val="none" w:sz="0" w:space="0" w:color="auto"/>
                  </w:divBdr>
                  <w:divsChild>
                    <w:div w:id="224338994">
                      <w:marLeft w:val="0"/>
                      <w:marRight w:val="0"/>
                      <w:marTop w:val="0"/>
                      <w:marBottom w:val="0"/>
                      <w:divBdr>
                        <w:top w:val="none" w:sz="0" w:space="0" w:color="auto"/>
                        <w:left w:val="none" w:sz="0" w:space="0" w:color="auto"/>
                        <w:bottom w:val="none" w:sz="0" w:space="0" w:color="auto"/>
                        <w:right w:val="none" w:sz="0" w:space="0" w:color="auto"/>
                      </w:divBdr>
                      <w:divsChild>
                        <w:div w:id="915558342">
                          <w:marLeft w:val="0"/>
                          <w:marRight w:val="0"/>
                          <w:marTop w:val="0"/>
                          <w:marBottom w:val="0"/>
                          <w:divBdr>
                            <w:top w:val="none" w:sz="0" w:space="0" w:color="auto"/>
                            <w:left w:val="none" w:sz="0" w:space="0" w:color="auto"/>
                            <w:bottom w:val="none" w:sz="0" w:space="0" w:color="auto"/>
                            <w:right w:val="none" w:sz="0" w:space="0" w:color="auto"/>
                          </w:divBdr>
                          <w:divsChild>
                            <w:div w:id="1937976628">
                              <w:marLeft w:val="0"/>
                              <w:marRight w:val="0"/>
                              <w:marTop w:val="0"/>
                              <w:marBottom w:val="0"/>
                              <w:divBdr>
                                <w:top w:val="none" w:sz="0" w:space="0" w:color="auto"/>
                                <w:left w:val="none" w:sz="0" w:space="0" w:color="auto"/>
                                <w:bottom w:val="none" w:sz="0" w:space="0" w:color="auto"/>
                                <w:right w:val="none" w:sz="0" w:space="0" w:color="auto"/>
                              </w:divBdr>
                              <w:divsChild>
                                <w:div w:id="447547632">
                                  <w:marLeft w:val="0"/>
                                  <w:marRight w:val="0"/>
                                  <w:marTop w:val="0"/>
                                  <w:marBottom w:val="0"/>
                                  <w:divBdr>
                                    <w:top w:val="none" w:sz="0" w:space="0" w:color="auto"/>
                                    <w:left w:val="none" w:sz="0" w:space="0" w:color="auto"/>
                                    <w:bottom w:val="none" w:sz="0" w:space="0" w:color="auto"/>
                                    <w:right w:val="none" w:sz="0" w:space="0" w:color="auto"/>
                                  </w:divBdr>
                                  <w:divsChild>
                                    <w:div w:id="27802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813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FDA2E-D7AE-485A-8B14-DA7B0E791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17</Pages>
  <Words>5926</Words>
  <Characters>33782</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Scott</dc:creator>
  <cp:keywords/>
  <dc:description/>
  <cp:lastModifiedBy>admin</cp:lastModifiedBy>
  <cp:revision>5</cp:revision>
  <cp:lastPrinted>2026-03-25T03:08:00Z</cp:lastPrinted>
  <dcterms:created xsi:type="dcterms:W3CDTF">2026-08-27T06:58:00Z</dcterms:created>
  <dcterms:modified xsi:type="dcterms:W3CDTF">2026-08-28T04:23:00Z</dcterms:modified>
</cp:coreProperties>
</file>