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8" w:type="dxa"/>
        <w:tblInd w:w="-431" w:type="dxa"/>
        <w:tblLayout w:type="fixed"/>
        <w:tblLook w:val="0000" w:firstRow="0" w:lastRow="0" w:firstColumn="0" w:lastColumn="0" w:noHBand="0" w:noVBand="0"/>
      </w:tblPr>
      <w:tblGrid>
        <w:gridCol w:w="4826"/>
        <w:gridCol w:w="5102"/>
      </w:tblGrid>
      <w:tr w:rsidR="001913E1" w:rsidRPr="00C8668A" w14:paraId="62D972FD" w14:textId="77777777" w:rsidTr="00386616">
        <w:tc>
          <w:tcPr>
            <w:tcW w:w="4826" w:type="dxa"/>
          </w:tcPr>
          <w:p w14:paraId="6524843C" w14:textId="77777777" w:rsidR="001913E1" w:rsidRPr="00C8668A" w:rsidRDefault="001913E1" w:rsidP="00386616">
            <w:pPr>
              <w:jc w:val="center"/>
              <w:rPr>
                <w:b/>
                <w:bCs/>
                <w:spacing w:val="-18"/>
                <w:sz w:val="28"/>
                <w:szCs w:val="28"/>
              </w:rPr>
            </w:pPr>
            <w:r>
              <w:rPr>
                <w:b/>
                <w:bCs/>
                <w:noProof/>
                <w:spacing w:val="-18"/>
                <w:sz w:val="26"/>
                <w:szCs w:val="26"/>
              </w:rPr>
              <mc:AlternateContent>
                <mc:Choice Requires="wps">
                  <w:drawing>
                    <wp:anchor distT="0" distB="0" distL="114300" distR="114300" simplePos="0" relativeHeight="251661312" behindDoc="0" locked="0" layoutInCell="1" allowOverlap="1" wp14:anchorId="21CCDEE9" wp14:editId="4B90526E">
                      <wp:simplePos x="0" y="0"/>
                      <wp:positionH relativeFrom="column">
                        <wp:posOffset>925878</wp:posOffset>
                      </wp:positionH>
                      <wp:positionV relativeFrom="paragraph">
                        <wp:posOffset>223618</wp:posOffset>
                      </wp:positionV>
                      <wp:extent cx="1125415" cy="0"/>
                      <wp:effectExtent l="0" t="0" r="0" b="0"/>
                      <wp:wrapNone/>
                      <wp:docPr id="201571767" name="Straight Connector 3"/>
                      <wp:cNvGraphicFramePr/>
                      <a:graphic xmlns:a="http://schemas.openxmlformats.org/drawingml/2006/main">
                        <a:graphicData uri="http://schemas.microsoft.com/office/word/2010/wordprocessingShape">
                          <wps:wsp>
                            <wps:cNvCnPr/>
                            <wps:spPr>
                              <a:xfrm>
                                <a:off x="0" y="0"/>
                                <a:ext cx="1125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D44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9pt,17.6pt" to="16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jF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ZdMsL780l5zJ41t1IgaM6R68ZXnTcaNd9iFasX2IiYIR9Aihwyl02aWd&#10;gQw27gcopvscrLDLVMCNQbYV1M/+tcn9I62CzBSljZlJ9f9JB2ymQZmU9xJndInoXZqJVjuP/4qa&#10;pmOqao8/ut57zbZffL8rjSjloHYXZ4fRzPP0+7nQTz/Q+hcAAAD//wMAUEsDBBQABgAIAAAAIQCq&#10;L/cl3QAAAAkBAAAPAAAAZHJzL2Rvd25yZXYueG1sTI/NTsMwEITvSLyDtUjcqENCqyqNU1WVEOKC&#10;aAp3N946Af9EtpOGt2cRBzjO7Gj2m2o7W8MmDLH3TsD9IgOGrvWqd1rA2/Hxbg0sJumUNN6hgC+M&#10;sK2vrypZKn9xB5yapBmVuFhKAV1KQ8l5bDu0Mi78gI5uZx+sTCSD5irIC5Vbw/MsW3Ere0cfOjng&#10;vsP2sxmtAPMcpne917s4Ph1WzcfrOX85TkLc3sy7DbCEc/oLww8+oUNNTCc/OhWZIf2wJPQkoFjm&#10;wChQ5AWNO/0avK74/wX1NwAAAP//AwBQSwECLQAUAAYACAAAACEAtoM4kv4AAADhAQAAEwAAAAAA&#10;AAAAAAAAAAAAAAAAW0NvbnRlbnRfVHlwZXNdLnhtbFBLAQItABQABgAIAAAAIQA4/SH/1gAAAJQB&#10;AAALAAAAAAAAAAAAAAAAAC8BAABfcmVscy8ucmVsc1BLAQItABQABgAIAAAAIQAkOpjFmQEAAIgD&#10;AAAOAAAAAAAAAAAAAAAAAC4CAABkcnMvZTJvRG9jLnhtbFBLAQItABQABgAIAAAAIQCqL/cl3QAA&#10;AAkBAAAPAAAAAAAAAAAAAAAAAPMDAABkcnMvZG93bnJldi54bWxQSwUGAAAAAAQABADzAAAA/QQA&#10;AAAA&#10;" strokecolor="black [3200]" strokeweight=".5pt">
                      <v:stroke joinstyle="miter"/>
                    </v:line>
                  </w:pict>
                </mc:Fallback>
              </mc:AlternateContent>
            </w:r>
            <w:r w:rsidRPr="00C8668A">
              <w:rPr>
                <w:b/>
                <w:bCs/>
                <w:spacing w:val="-18"/>
                <w:sz w:val="26"/>
                <w:szCs w:val="26"/>
              </w:rPr>
              <w:t>BỘ VĂN HÓA, THỂ THAO VÀ DU LỊCH</w:t>
            </w:r>
            <w:r w:rsidRPr="00C8668A">
              <w:rPr>
                <w:b/>
                <w:bCs/>
                <w:spacing w:val="-18"/>
                <w:sz w:val="28"/>
                <w:szCs w:val="28"/>
              </w:rPr>
              <w:br/>
            </w:r>
            <w:r w:rsidRPr="00C8668A">
              <w:rPr>
                <w:noProof/>
                <w:spacing w:val="-18"/>
                <w:lang w:val="en-US"/>
              </w:rPr>
              <mc:AlternateContent>
                <mc:Choice Requires="wps">
                  <w:drawing>
                    <wp:anchor distT="0" distB="0" distL="114300" distR="114300" simplePos="0" relativeHeight="251659264" behindDoc="0" locked="0" layoutInCell="1" hidden="0" allowOverlap="1" wp14:anchorId="7AB7323B" wp14:editId="610EED54">
                      <wp:simplePos x="0" y="0"/>
                      <wp:positionH relativeFrom="column">
                        <wp:posOffset>937277</wp:posOffset>
                      </wp:positionH>
                      <wp:positionV relativeFrom="paragraph">
                        <wp:posOffset>218440</wp:posOffset>
                      </wp:positionV>
                      <wp:extent cx="0" cy="12700"/>
                      <wp:effectExtent l="0" t="0" r="0" b="0"/>
                      <wp:wrapNone/>
                      <wp:docPr id="89" name="Straight Arrow Connector 89"/>
                      <wp:cNvGraphicFramePr/>
                      <a:graphic xmlns:a="http://schemas.openxmlformats.org/drawingml/2006/main">
                        <a:graphicData uri="http://schemas.microsoft.com/office/word/2010/wordprocessingShape">
                          <wps:wsp>
                            <wps:cNvCnPr/>
                            <wps:spPr>
                              <a:xfrm>
                                <a:off x="4822731" y="3780000"/>
                                <a:ext cx="104653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3D4827AC" id="_x0000_t32" coordsize="21600,21600" o:spt="32" o:oned="t" path="m,l21600,21600e" filled="f">
                      <v:path arrowok="t" fillok="f" o:connecttype="none"/>
                      <o:lock v:ext="edit" shapetype="t"/>
                    </v:shapetype>
                    <v:shape id="Straight Arrow Connector 89" o:spid="_x0000_s1026" type="#_x0000_t32" style="position:absolute;margin-left:73.8pt;margin-top:17.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bM0wEAAJUDAAAOAAAAZHJzL2Uyb0RvYy54bWysU8mOEzEQvSPxD5bvpJdMZjKtOHNIGC4I&#10;RgI+oMZLt4U32Sad/D1lJ0xYDkiIPrjLdtWr96rKm4ejNeQgY9LeMdotWkqk415oNzL65fPjmzUl&#10;KYMTYLyTjJ5kog/b1682cxhk7ydvhIwEQVwa5sDolHMYmibxSVpICx+kw0vlo4WM2zg2IsKM6NY0&#10;fdveNrOPIkTPZUp4uj9f0m3FV0ry/FGpJDMxjCK3XNdY1+eyNtsNDGOEMGl+oQH/wMKCdpj0BWoP&#10;Gci3qP+AsppHn7zKC+5t45XSXFYNqKZrf1PzaYIgqxYsTgovZUr/D5Z/OOzcU8QyzCENKTzFouKo&#10;oi1/5EeOjN6s+/5u2VFyYnR5t27xOxdOHjPh6NC1N7er5T0lHD3qXXMFCTHld9JbUgxGU46gxynv&#10;vHPYHh+7Wjg4vE8ZaWDgj4DCwPlHbUztknFkZvR+1a8wD+CsKAMZTRsEorqxwiRvtCghJbhOkdyZ&#10;SA6A/Rdfu0IbM/ziVdLtIU1np3p1Vmd1xtk02jJaNV9ETxLEWydIPgUcaIdjTQuxZCkxEh8BGpVv&#10;Bm3+7odsjENS1/IX69mLU+1KPcfeV9qXOS3D9fO+Rl9f0/Y7AAAA//8DAFBLAwQUAAYACAAAACEA&#10;NPwqQ9oAAAAJAQAADwAAAGRycy9kb3ducmV2LnhtbEyPwU7DMBBE70j8g7VI3KhTEgUU4lQVEoee&#10;Kko/wImXJKq9jmLXTf+eLRc4zuzT7Ey9WZwVCecwelKwXmUgkDpvRuoVHL8+nl5BhKjJaOsJFVwx&#10;wKa5v6t1ZfyFPjEdYi84hEKlFQwxTpWUoRvQ6bDyExLfvv3sdGQ599LM+sLhzsrnLCul0yPxh0FP&#10;+D5gdzqcnYJt2vW5zPfpOlKBsbRp59u9Uo8Py/YNRMQl/sFwq8/VoeFOrT+TCcKyLl5KRhXkRQHi&#10;BvwaLRtlAbKp5f8FzQ8AAAD//wMAUEsBAi0AFAAGAAgAAAAhALaDOJL+AAAA4QEAABMAAAAAAAAA&#10;AAAAAAAAAAAAAFtDb250ZW50X1R5cGVzXS54bWxQSwECLQAUAAYACAAAACEAOP0h/9YAAACUAQAA&#10;CwAAAAAAAAAAAAAAAAAvAQAAX3JlbHMvLnJlbHNQSwECLQAUAAYACAAAACEA3Ze2zNMBAACVAwAA&#10;DgAAAAAAAAAAAAAAAAAuAgAAZHJzL2Uyb0RvYy54bWxQSwECLQAUAAYACAAAACEANPwqQ9oAAAAJ&#10;AQAADwAAAAAAAAAAAAAAAAAtBAAAZHJzL2Rvd25yZXYueG1sUEsFBgAAAAAEAAQA8wAAADQFAAAA&#10;AA==&#10;" strokecolor="black [3200]">
                      <v:stroke startarrowwidth="narrow" startarrowlength="short" endarrowwidth="narrow" endarrowlength="short" joinstyle="miter"/>
                    </v:shape>
                  </w:pict>
                </mc:Fallback>
              </mc:AlternateContent>
            </w:r>
          </w:p>
        </w:tc>
        <w:tc>
          <w:tcPr>
            <w:tcW w:w="5102" w:type="dxa"/>
          </w:tcPr>
          <w:p w14:paraId="44F1E436" w14:textId="77777777" w:rsidR="001913E1" w:rsidRPr="00C8668A" w:rsidRDefault="001913E1" w:rsidP="00386616">
            <w:pPr>
              <w:jc w:val="center"/>
              <w:rPr>
                <w:b/>
                <w:bCs/>
                <w:spacing w:val="-18"/>
                <w:sz w:val="28"/>
                <w:szCs w:val="28"/>
              </w:rPr>
            </w:pPr>
            <w:r w:rsidRPr="00C8668A">
              <w:rPr>
                <w:b/>
                <w:bCs/>
                <w:spacing w:val="-18"/>
                <w:sz w:val="26"/>
                <w:szCs w:val="26"/>
              </w:rPr>
              <w:t>CỘNG HÒA XÃ HỘI CHỦ NGHĨA VIỆT NAM</w:t>
            </w:r>
            <w:r w:rsidRPr="00C8668A">
              <w:rPr>
                <w:b/>
                <w:bCs/>
                <w:spacing w:val="-18"/>
                <w:sz w:val="26"/>
                <w:szCs w:val="26"/>
              </w:rPr>
              <w:br/>
            </w:r>
            <w:r w:rsidRPr="00C8668A">
              <w:rPr>
                <w:b/>
                <w:bCs/>
                <w:spacing w:val="-18"/>
                <w:sz w:val="28"/>
                <w:szCs w:val="28"/>
              </w:rPr>
              <w:t xml:space="preserve">Độc lập - Tự do - Hạnh phúc </w:t>
            </w:r>
          </w:p>
          <w:p w14:paraId="0ECCD379" w14:textId="77777777" w:rsidR="001913E1" w:rsidRPr="00C8668A" w:rsidRDefault="001913E1" w:rsidP="00386616">
            <w:pPr>
              <w:jc w:val="center"/>
              <w:rPr>
                <w:spacing w:val="-18"/>
                <w:sz w:val="28"/>
                <w:szCs w:val="28"/>
              </w:rPr>
            </w:pPr>
            <w:r>
              <w:rPr>
                <w:noProof/>
                <w:spacing w:val="-18"/>
                <w:lang w:val="en-US"/>
              </w:rPr>
              <mc:AlternateContent>
                <mc:Choice Requires="wps">
                  <w:drawing>
                    <wp:anchor distT="0" distB="0" distL="114300" distR="114300" simplePos="0" relativeHeight="251662336" behindDoc="0" locked="0" layoutInCell="1" allowOverlap="1" wp14:anchorId="14B39EF0" wp14:editId="49E5147C">
                      <wp:simplePos x="0" y="0"/>
                      <wp:positionH relativeFrom="column">
                        <wp:posOffset>609453</wp:posOffset>
                      </wp:positionH>
                      <wp:positionV relativeFrom="paragraph">
                        <wp:posOffset>27940</wp:posOffset>
                      </wp:positionV>
                      <wp:extent cx="1899138" cy="0"/>
                      <wp:effectExtent l="0" t="0" r="0" b="0"/>
                      <wp:wrapNone/>
                      <wp:docPr id="1617643591" name="Straight Connector 4"/>
                      <wp:cNvGraphicFramePr/>
                      <a:graphic xmlns:a="http://schemas.openxmlformats.org/drawingml/2006/main">
                        <a:graphicData uri="http://schemas.microsoft.com/office/word/2010/wordprocessingShape">
                          <wps:wsp>
                            <wps:cNvCnPr/>
                            <wps:spPr>
                              <a:xfrm>
                                <a:off x="0" y="0"/>
                                <a:ext cx="1899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E58E4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2.2pt" to="19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uHmQEAAIgDAAAOAAAAZHJzL2Uyb0RvYy54bWysU9tO4zAQfV+Jf7D8TpOAtIKoaR9A7Ati&#10;0V4+wDjjxsL2WLZp0r/fsdumK3aFEOLF8eWcM3NmJsv1ZA3bQogaXcebRc0ZOIm9dpuO//51d37F&#10;WUzC9cKgg47vIPL16uzLcvQtXOCApofASMTFdvQdH1LybVVFOYAVcYEeHD0qDFYkOoZN1Qcxkro1&#10;1UVdf61GDL0PKCFGur3dP/JV0VcKZPquVITETMcpt1TWUNanvFarpWg3QfhBy0Ma4gNZWKEdBZ2l&#10;bkUS7CXof6SslgEjqrSQaCtUSksoHshNU79y83MQHooXKk70c5ni58nKh+2NewxUhtHHNvrHkF1M&#10;Ktj8pfzYVIq1m4sFU2KSLpur6+vmktorj2/ViehDTN8ALcubjhvtsg/Riu19TBSMoEcIHU6hyy7t&#10;DGSwcT9AMd3nYIVdpgJuTGBbQf3sn5vcP9IqyExR2piZVL9NOmAzDcqkvJc4o0tEdGkmWu0w/C9q&#10;mo6pqj3+6HrvNdt+wn5XGlHKQe0uzg6jmefp73Ohn36g1R8AAAD//wMAUEsDBBQABgAIAAAAIQB7&#10;ZB0F2wAAAAYBAAAPAAAAZHJzL2Rvd25yZXYueG1sTI/BTsMwEETvSPyDtUjcqNNSIprGqapKCHFB&#10;NKV3N946AXsd2U4a/h7DBY6jGc28KTeTNWxEHzpHAuazDBhS41RHWsD74enuEViIkpQ0jlDAFwbY&#10;VNdXpSyUu9AexzpqlkooFFJAG2NfcB6aFq0MM9cjJe/svJUxSa+58vKSyq3hiyzLuZUdpYVW9rhr&#10;sfmsByvAvPjxqHd6G4bnfV5/vJ0Xr4dRiNubabsGFnGKf2H4wU/oUCWmkxtIBWYErPJ0JQpYLoEl&#10;+371MAd2+tW8Kvl//OobAAD//wMAUEsBAi0AFAAGAAgAAAAhALaDOJL+AAAA4QEAABMAAAAAAAAA&#10;AAAAAAAAAAAAAFtDb250ZW50X1R5cGVzXS54bWxQSwECLQAUAAYACAAAACEAOP0h/9YAAACUAQAA&#10;CwAAAAAAAAAAAAAAAAAvAQAAX3JlbHMvLnJlbHNQSwECLQAUAAYACAAAACEALHH7h5kBAACIAwAA&#10;DgAAAAAAAAAAAAAAAAAuAgAAZHJzL2Uyb0RvYy54bWxQSwECLQAUAAYACAAAACEAe2QdBdsAAAAG&#10;AQAADwAAAAAAAAAAAAAAAADzAwAAZHJzL2Rvd25yZXYueG1sUEsFBgAAAAAEAAQA8wAAAPsEAAAA&#10;AA==&#10;" strokecolor="black [3200]" strokeweight=".5pt">
                      <v:stroke joinstyle="miter"/>
                    </v:line>
                  </w:pict>
                </mc:Fallback>
              </mc:AlternateContent>
            </w:r>
            <w:r w:rsidRPr="00C8668A">
              <w:rPr>
                <w:noProof/>
                <w:spacing w:val="-18"/>
                <w:lang w:val="en-US"/>
              </w:rPr>
              <mc:AlternateContent>
                <mc:Choice Requires="wps">
                  <w:drawing>
                    <wp:anchor distT="0" distB="0" distL="114300" distR="114300" simplePos="0" relativeHeight="251660288" behindDoc="0" locked="0" layoutInCell="1" hidden="0" allowOverlap="1" wp14:anchorId="744FB4D5" wp14:editId="30D93CC7">
                      <wp:simplePos x="0" y="0"/>
                      <wp:positionH relativeFrom="column">
                        <wp:posOffset>616602</wp:posOffset>
                      </wp:positionH>
                      <wp:positionV relativeFrom="paragraph">
                        <wp:posOffset>36760</wp:posOffset>
                      </wp:positionV>
                      <wp:extent cx="0" cy="12700"/>
                      <wp:effectExtent l="0" t="0" r="0" b="0"/>
                      <wp:wrapNone/>
                      <wp:docPr id="88" name="Straight Arrow Connector 88"/>
                      <wp:cNvGraphicFramePr/>
                      <a:graphic xmlns:a="http://schemas.openxmlformats.org/drawingml/2006/main">
                        <a:graphicData uri="http://schemas.microsoft.com/office/word/2010/wordprocessingShape">
                          <wps:wsp>
                            <wps:cNvCnPr/>
                            <wps:spPr>
                              <a:xfrm>
                                <a:off x="4402530" y="3780000"/>
                                <a:ext cx="188694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9434A4E" id="Straight Arrow Connector 88" o:spid="_x0000_s1026" type="#_x0000_t32" style="position:absolute;margin-left:48.55pt;margin-top:2.9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gn0wEAAJUDAAAOAAAAZHJzL2Uyb0RvYy54bWysU9uOEzEMfUfiH6K805nptkt31Ok+tCwv&#10;CFYCPsCbSyciN8Wh0/49TtrdcnlAQsxDxkns43NsZ31/dJYdVEIT/MC7WcuZ8iJI4/cD//rl4c2K&#10;M8zgJdjg1cBPCvn95vWr9RR7NQ9jsFIlRiAe+ykOfMw59k2DYlQOcBai8nSpQ3KQaZv2jUwwEbqz&#10;zbxtb5spJBlTEAqRTnfnS76p+ForkT9pjSozO3Diluua6vpU1mazhn6fII5GXGjAP7BwYDwlfYHa&#10;QQb2PZk/oJwRKWDQeSaCa4LWRqiqgdR07W9qPo8QVdVCxcH4Uib8f7Di42HrHxOVYYrYY3xMRcVR&#10;J1f+xI8dB75YtPPlDZXvNPCbt6uWvnPh1DEzQQ7danV7t+g4E+RR75orSEyY36vgWDEGjjmB2Y95&#10;G7yn9oTU1cLB4QNmokGBzwGFgQ8PxtraJevZNPC75XxJeYBmRVvIZLooCdXvKwwGa2QJKcF1itTW&#10;JnYA6r/81hXalOEXr5JuBzienerVWZ0zmWbTGjfwqvkielQg33nJ8inSQHsaa16IoePMKnoEZFS+&#10;GYz9ux+xsZ5IXctfrKcgT7Ur9Zx6X2lf5rQM18/7Gn19TZsfAAAA//8DAFBLAwQUAAYACAAAACEA&#10;+gUkAdgAAAAFAQAADwAAAGRycy9kb3ducmV2LnhtbEyPwU7DMBBE70j8g7VI3KhTCm1Js6kqJA49&#10;VRQ+wImXJKq9jmI3Tf+ehQscRzOaeVNsJ+/USEPsAiPMZxko4jrYjhuEz4+3hzWomAxb4wITwpUi&#10;bMvbm8LkNlz4ncZjapSUcMwNQptSn2sd65a8ibPQE4v3FQZvksih0XYwFyn3Tj9m2VJ707EstKan&#10;15bq0/HsEXbjvlnoxWG8dvxEaenGfagOiPd3024DKtGU/sLwgy/oUApTFc5so3IIL6u5JBGe5YDY&#10;v7JCWK1Bl4X+T19+AwAA//8DAFBLAQItABQABgAIAAAAIQC2gziS/gAAAOEBAAATAAAAAAAAAAAA&#10;AAAAAAAAAABbQ29udGVudF9UeXBlc10ueG1sUEsBAi0AFAAGAAgAAAAhADj9If/WAAAAlAEAAAsA&#10;AAAAAAAAAAAAAAAALwEAAF9yZWxzLy5yZWxzUEsBAi0AFAAGAAgAAAAhAH2HyCfTAQAAlQMAAA4A&#10;AAAAAAAAAAAAAAAALgIAAGRycy9lMm9Eb2MueG1sUEsBAi0AFAAGAAgAAAAhAPoFJAHYAAAABQEA&#10;AA8AAAAAAAAAAAAAAAAALQQAAGRycy9kb3ducmV2LnhtbFBLBQYAAAAABAAEAPMAAAAyBQAAAAA=&#10;" strokecolor="black [3200]">
                      <v:stroke startarrowwidth="narrow" startarrowlength="short" endarrowwidth="narrow" endarrowlength="short" joinstyle="miter"/>
                    </v:shape>
                  </w:pict>
                </mc:Fallback>
              </mc:AlternateContent>
            </w:r>
          </w:p>
        </w:tc>
      </w:tr>
      <w:tr w:rsidR="001913E1" w14:paraId="5190E838" w14:textId="77777777" w:rsidTr="00386616">
        <w:tc>
          <w:tcPr>
            <w:tcW w:w="4826" w:type="dxa"/>
          </w:tcPr>
          <w:p w14:paraId="4B1D504A" w14:textId="77777777" w:rsidR="001913E1" w:rsidRDefault="001913E1" w:rsidP="00386616">
            <w:pPr>
              <w:jc w:val="center"/>
              <w:rPr>
                <w:sz w:val="28"/>
                <w:szCs w:val="28"/>
              </w:rPr>
            </w:pPr>
            <w:r>
              <w:rPr>
                <w:sz w:val="26"/>
                <w:szCs w:val="26"/>
              </w:rPr>
              <w:t xml:space="preserve">Số:     </w:t>
            </w:r>
            <w:r>
              <w:rPr>
                <w:sz w:val="26"/>
                <w:szCs w:val="26"/>
                <w:lang w:val="en-US"/>
              </w:rPr>
              <w:t xml:space="preserve">  </w:t>
            </w:r>
            <w:r>
              <w:rPr>
                <w:sz w:val="26"/>
                <w:szCs w:val="26"/>
              </w:rPr>
              <w:t xml:space="preserve">   </w:t>
            </w:r>
            <w:r>
              <w:rPr>
                <w:b/>
                <w:bCs/>
                <w:sz w:val="26"/>
                <w:szCs w:val="26"/>
              </w:rPr>
              <w:t>/</w:t>
            </w:r>
            <w:r>
              <w:rPr>
                <w:sz w:val="26"/>
                <w:szCs w:val="26"/>
              </w:rPr>
              <w:t>2026/TT-BVHTTDL</w:t>
            </w:r>
          </w:p>
        </w:tc>
        <w:tc>
          <w:tcPr>
            <w:tcW w:w="5102" w:type="dxa"/>
          </w:tcPr>
          <w:p w14:paraId="3E9E14CE" w14:textId="77777777" w:rsidR="001913E1" w:rsidRDefault="001913E1" w:rsidP="00386616">
            <w:pPr>
              <w:jc w:val="center"/>
              <w:rPr>
                <w:i/>
                <w:iCs/>
                <w:sz w:val="28"/>
                <w:szCs w:val="28"/>
              </w:rPr>
            </w:pPr>
            <w:r>
              <w:rPr>
                <w:i/>
                <w:iCs/>
                <w:sz w:val="28"/>
                <w:szCs w:val="28"/>
              </w:rPr>
              <w:t>Hà Nội, ngày       tháng       năm 2026</w:t>
            </w:r>
          </w:p>
        </w:tc>
      </w:tr>
    </w:tbl>
    <w:p w14:paraId="3F298DD3" w14:textId="77777777" w:rsidR="001913E1" w:rsidRDefault="001913E1" w:rsidP="001913E1">
      <w:pPr>
        <w:widowControl w:val="0"/>
        <w:pBdr>
          <w:top w:val="nil"/>
          <w:left w:val="nil"/>
          <w:bottom w:val="nil"/>
          <w:right w:val="nil"/>
          <w:between w:val="nil"/>
        </w:pBdr>
        <w:shd w:val="clear" w:color="auto" w:fill="FFFFFF"/>
        <w:spacing w:before="120"/>
        <w:rPr>
          <w:b/>
          <w:bCs/>
          <w:color w:val="000000"/>
          <w:sz w:val="28"/>
          <w:szCs w:val="28"/>
        </w:rPr>
      </w:pPr>
    </w:p>
    <w:p w14:paraId="3832BD8E" w14:textId="77777777" w:rsidR="001913E1" w:rsidRPr="00A82BCF" w:rsidRDefault="001913E1" w:rsidP="00A82BCF">
      <w:pPr>
        <w:widowControl w:val="0"/>
        <w:pBdr>
          <w:top w:val="nil"/>
          <w:left w:val="nil"/>
          <w:bottom w:val="nil"/>
          <w:right w:val="nil"/>
          <w:between w:val="nil"/>
        </w:pBdr>
        <w:shd w:val="clear" w:color="auto" w:fill="FFFFFF"/>
        <w:spacing w:before="120"/>
        <w:jc w:val="center"/>
        <w:rPr>
          <w:b/>
          <w:bCs/>
          <w:sz w:val="28"/>
          <w:szCs w:val="28"/>
        </w:rPr>
      </w:pPr>
      <w:bookmarkStart w:id="0" w:name="bookmark=id.nkpee4dgscqx" w:colFirst="0" w:colLast="0"/>
      <w:bookmarkEnd w:id="0"/>
      <w:r w:rsidRPr="00A82BCF">
        <w:rPr>
          <w:b/>
          <w:bCs/>
          <w:sz w:val="28"/>
          <w:szCs w:val="28"/>
        </w:rPr>
        <w:t>THÔNG TƯ</w:t>
      </w:r>
    </w:p>
    <w:p w14:paraId="0D9ECBA1" w14:textId="2BA87D24" w:rsidR="001913E1" w:rsidRPr="00A82BCF" w:rsidRDefault="001913E1" w:rsidP="00A82BCF">
      <w:pPr>
        <w:widowControl w:val="0"/>
        <w:pBdr>
          <w:top w:val="nil"/>
          <w:left w:val="nil"/>
          <w:bottom w:val="nil"/>
          <w:right w:val="nil"/>
          <w:between w:val="nil"/>
        </w:pBdr>
        <w:shd w:val="clear" w:color="auto" w:fill="FFFFFF"/>
        <w:jc w:val="center"/>
        <w:rPr>
          <w:b/>
          <w:bCs/>
          <w:sz w:val="28"/>
          <w:szCs w:val="28"/>
        </w:rPr>
      </w:pPr>
      <w:r w:rsidRPr="00A82BCF">
        <w:rPr>
          <w:b/>
          <w:bCs/>
          <w:sz w:val="28"/>
          <w:szCs w:val="28"/>
        </w:rPr>
        <w:t>Ban hành</w:t>
      </w:r>
      <w:r w:rsidRPr="00A82BCF">
        <w:rPr>
          <w:sz w:val="28"/>
          <w:szCs w:val="28"/>
        </w:rPr>
        <w:t xml:space="preserve"> </w:t>
      </w:r>
      <w:r w:rsidRPr="00A82BCF">
        <w:rPr>
          <w:b/>
          <w:bCs/>
          <w:sz w:val="28"/>
          <w:szCs w:val="28"/>
        </w:rPr>
        <w:t>Danh mục</w:t>
      </w:r>
      <w:r w:rsidRPr="00A82BCF">
        <w:rPr>
          <w:sz w:val="28"/>
          <w:szCs w:val="28"/>
        </w:rPr>
        <w:t xml:space="preserve"> </w:t>
      </w:r>
      <w:r w:rsidRPr="00A82BCF">
        <w:rPr>
          <w:b/>
          <w:bCs/>
          <w:sz w:val="28"/>
          <w:szCs w:val="28"/>
        </w:rPr>
        <w:t>hóa chất không được sử dụng</w:t>
      </w:r>
    </w:p>
    <w:p w14:paraId="1FF68734" w14:textId="77777777" w:rsidR="001913E1" w:rsidRPr="00A82BCF" w:rsidRDefault="001913E1" w:rsidP="00A82BCF">
      <w:pPr>
        <w:widowControl w:val="0"/>
        <w:pBdr>
          <w:top w:val="nil"/>
          <w:left w:val="nil"/>
          <w:bottom w:val="nil"/>
          <w:right w:val="nil"/>
          <w:between w:val="nil"/>
        </w:pBdr>
        <w:shd w:val="clear" w:color="auto" w:fill="FFFFFF"/>
        <w:jc w:val="center"/>
        <w:rPr>
          <w:b/>
          <w:bCs/>
          <w:sz w:val="28"/>
          <w:szCs w:val="28"/>
        </w:rPr>
      </w:pPr>
      <w:r w:rsidRPr="00A82BCF">
        <w:rPr>
          <w:b/>
          <w:bCs/>
          <w:sz w:val="28"/>
          <w:szCs w:val="28"/>
        </w:rPr>
        <w:t>và Danh mục hóa chất nguy hiểm trong sản phẩm hàng hóa cần công bố thông tin trong lĩnh vực văn hóa, thể thao và du lịch</w:t>
      </w:r>
    </w:p>
    <w:p w14:paraId="51085AF9" w14:textId="77777777" w:rsidR="001913E1" w:rsidRPr="00A82BCF" w:rsidRDefault="001913E1" w:rsidP="00A82BCF">
      <w:pPr>
        <w:widowControl w:val="0"/>
        <w:pBdr>
          <w:top w:val="nil"/>
          <w:left w:val="nil"/>
          <w:bottom w:val="nil"/>
          <w:right w:val="nil"/>
          <w:between w:val="nil"/>
        </w:pBdr>
        <w:shd w:val="clear" w:color="auto" w:fill="FFFFFF"/>
        <w:spacing w:before="240" w:after="120"/>
        <w:ind w:firstLine="709"/>
        <w:jc w:val="both"/>
        <w:rPr>
          <w:sz w:val="28"/>
          <w:szCs w:val="28"/>
        </w:rPr>
      </w:pPr>
      <w:r w:rsidRPr="00A82BCF">
        <w:rPr>
          <w:i/>
          <w:iCs/>
          <w:sz w:val="28"/>
          <w:szCs w:val="28"/>
        </w:rPr>
        <w:t xml:space="preserve">Căn cứ </w:t>
      </w:r>
      <w:bookmarkStart w:id="1" w:name="bookmark=id.4lred0jn476u" w:colFirst="0" w:colLast="0"/>
      <w:bookmarkEnd w:id="1"/>
      <w:r w:rsidRPr="00A82BCF">
        <w:rPr>
          <w:i/>
          <w:iCs/>
          <w:sz w:val="28"/>
          <w:szCs w:val="28"/>
        </w:rPr>
        <w:t>Luật hóa chất số 69/2025/QH15;</w:t>
      </w:r>
    </w:p>
    <w:p w14:paraId="4896E297"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i/>
          <w:iCs/>
          <w:sz w:val="28"/>
          <w:szCs w:val="28"/>
        </w:rPr>
        <w:t xml:space="preserve">Căn cứ Nghị định số </w:t>
      </w:r>
      <w:bookmarkStart w:id="2" w:name="bookmark=id.z05wg8gem1jk" w:colFirst="0" w:colLast="0"/>
      <w:bookmarkEnd w:id="2"/>
      <w:r w:rsidRPr="00A82BCF">
        <w:rPr>
          <w:i/>
          <w:iCs/>
          <w:sz w:val="28"/>
          <w:szCs w:val="28"/>
        </w:rPr>
        <w:t xml:space="preserve">26/2026/NĐ-CP ngày 17 tháng 01 năm 2026 của Chính phủ quy định chi tiết và hướng dẫn thi hành một số điều của </w:t>
      </w:r>
      <w:bookmarkStart w:id="3" w:name="bookmark=id.watbhsehqah2" w:colFirst="0" w:colLast="0"/>
      <w:bookmarkEnd w:id="3"/>
      <w:r w:rsidRPr="00A82BCF">
        <w:rPr>
          <w:i/>
          <w:iCs/>
          <w:sz w:val="28"/>
          <w:szCs w:val="28"/>
        </w:rPr>
        <w:t>Luật Hóa chất về quản lý hoạt động hóa chất và hóa chất nguy hiểm trong sản phẩm, hàng hóa;</w:t>
      </w:r>
    </w:p>
    <w:p w14:paraId="5F7F966B"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i/>
          <w:iCs/>
          <w:sz w:val="28"/>
          <w:szCs w:val="28"/>
        </w:rPr>
        <w:t xml:space="preserve">Căn cứ Nghị định số </w:t>
      </w:r>
      <w:bookmarkStart w:id="4" w:name="bookmark=id.d10m6al6ko39" w:colFirst="0" w:colLast="0"/>
      <w:bookmarkEnd w:id="4"/>
      <w:r w:rsidRPr="00A82BCF">
        <w:rPr>
          <w:i/>
          <w:iCs/>
          <w:sz w:val="28"/>
          <w:szCs w:val="28"/>
        </w:rPr>
        <w:t>43/2025/NĐ-CP ngày 28 tháng 02 năm 2025 của Chính phủ quy định chức năng, nhiệm vụ, quyền hạn và cơ cấu tổ chức của Bộ Văn hóa, Thể thao và Du lịch;</w:t>
      </w:r>
    </w:p>
    <w:p w14:paraId="3CBA5F5D"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i/>
          <w:iCs/>
          <w:sz w:val="28"/>
          <w:szCs w:val="28"/>
        </w:rPr>
        <w:t>Theo đề nghị của Vụ trưởng vụ Pháp chế,</w:t>
      </w:r>
    </w:p>
    <w:p w14:paraId="54E93A1E"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i/>
          <w:iCs/>
          <w:sz w:val="28"/>
          <w:szCs w:val="28"/>
        </w:rPr>
      </w:pPr>
      <w:r w:rsidRPr="00A82BCF">
        <w:rPr>
          <w:i/>
          <w:iCs/>
          <w:sz w:val="28"/>
          <w:szCs w:val="28"/>
        </w:rPr>
        <w:t xml:space="preserve">Bộ trưởng Bộ Văn hóa, Thể thao và Du lịch ban hành Thông tư quy định chi tiết và hướng dẫn thi hành một số điều của </w:t>
      </w:r>
      <w:bookmarkStart w:id="5" w:name="bookmark=id.fbiegb9be0gj" w:colFirst="0" w:colLast="0"/>
      <w:bookmarkEnd w:id="5"/>
      <w:r w:rsidRPr="00A82BCF">
        <w:rPr>
          <w:i/>
          <w:iCs/>
          <w:sz w:val="28"/>
          <w:szCs w:val="28"/>
        </w:rPr>
        <w:t xml:space="preserve">Luật Hóa chất </w:t>
      </w:r>
      <w:bookmarkStart w:id="6" w:name="bookmark=id.4n0tvalft4ru" w:colFirst="0" w:colLast="0"/>
      <w:bookmarkEnd w:id="6"/>
      <w:r w:rsidRPr="00A82BCF">
        <w:rPr>
          <w:i/>
          <w:iCs/>
          <w:sz w:val="28"/>
          <w:szCs w:val="28"/>
        </w:rPr>
        <w:t xml:space="preserve">về quản lý hoạt động hóa chất, hóa chất không được sử dụng và Danh mục hóa chất nguy hiểm trong sản phẩm hàng hóa cần công bố thông tin trong lĩnh vực văn hóa, thể thao và du lịch </w:t>
      </w:r>
    </w:p>
    <w:p w14:paraId="126767BE" w14:textId="19F53FFD"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b/>
          <w:bCs/>
          <w:sz w:val="28"/>
          <w:szCs w:val="28"/>
          <w:lang w:val="en-US"/>
        </w:rPr>
      </w:pPr>
      <w:bookmarkStart w:id="7" w:name="bookmark=id.sqzflfr5vs57" w:colFirst="0" w:colLast="0"/>
      <w:bookmarkEnd w:id="7"/>
      <w:r w:rsidRPr="00A82BCF">
        <w:rPr>
          <w:b/>
          <w:bCs/>
          <w:sz w:val="28"/>
          <w:szCs w:val="28"/>
        </w:rPr>
        <w:t>Điều 1. Phạm vi điều chỉnh</w:t>
      </w:r>
    </w:p>
    <w:p w14:paraId="3BD758A4" w14:textId="70A47A8A"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trike/>
          <w:sz w:val="28"/>
          <w:szCs w:val="28"/>
        </w:rPr>
      </w:pPr>
      <w:r w:rsidRPr="00A82BCF">
        <w:rPr>
          <w:sz w:val="28"/>
          <w:szCs w:val="28"/>
        </w:rPr>
        <w:t xml:space="preserve">Thông tư này quy định chi tiết và hướng dẫn khoản 4 Điều 15 và khoản 2 Điều 31 của Luật Hóa chất, bao gồm ban hành Danh mục hóa chất không được sử dụng và Danh mục hóa chất nguy hiểm trong sản phẩm hàng hóa cần công bố thông tin trong lĩnh vực văn hóa, thể thao và du lịch. </w:t>
      </w:r>
    </w:p>
    <w:p w14:paraId="12F81DB9" w14:textId="70FDF1B9"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b/>
          <w:bCs/>
          <w:sz w:val="28"/>
          <w:szCs w:val="28"/>
        </w:rPr>
      </w:pPr>
      <w:r w:rsidRPr="00A82BCF">
        <w:rPr>
          <w:b/>
          <w:bCs/>
          <w:sz w:val="28"/>
          <w:szCs w:val="28"/>
        </w:rPr>
        <w:t>Điều 2. Ban hành kèm theo Thông tư này Danh mục hóa chất</w:t>
      </w:r>
      <w:r w:rsidRPr="00A82BCF">
        <w:rPr>
          <w:b/>
          <w:bCs/>
          <w:strike/>
          <w:sz w:val="28"/>
          <w:szCs w:val="28"/>
        </w:rPr>
        <w:t xml:space="preserve"> </w:t>
      </w:r>
    </w:p>
    <w:p w14:paraId="5398FE86"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sz w:val="28"/>
          <w:szCs w:val="28"/>
        </w:rPr>
        <w:t>1. Danh mục hóa chất không được sử dụng trong lĩnh vực văn hóa, thể thao và du lịch tại Phụ lục I;</w:t>
      </w:r>
    </w:p>
    <w:p w14:paraId="2F693CFD"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sz w:val="28"/>
          <w:szCs w:val="28"/>
        </w:rPr>
        <w:t>2. Danh mục hóa chất nguy hiểm trong sản phẩm hàng hóa cần công bố thông tin trong lĩnh vực văn hóa, thể thao và du lịch tại Phụ lục II.</w:t>
      </w:r>
    </w:p>
    <w:p w14:paraId="7355755F"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b/>
          <w:bCs/>
          <w:sz w:val="28"/>
          <w:szCs w:val="28"/>
        </w:rPr>
      </w:pPr>
      <w:r w:rsidRPr="00A82BCF">
        <w:rPr>
          <w:b/>
          <w:bCs/>
          <w:sz w:val="28"/>
          <w:szCs w:val="28"/>
        </w:rPr>
        <w:t xml:space="preserve">Điều 3. Nguyên tắc phân loại hóa chất </w:t>
      </w:r>
    </w:p>
    <w:p w14:paraId="3084B7F2"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lang w:val="en-US"/>
        </w:rPr>
      </w:pPr>
      <w:r w:rsidRPr="00A82BCF">
        <w:rPr>
          <w:sz w:val="28"/>
          <w:szCs w:val="28"/>
        </w:rPr>
        <w:t>Thực hiện theo quy định tại Điều 7 của Thông tư số 01/2026/TT-BCT của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21950387" w14:textId="77777777" w:rsidR="00A82BCF" w:rsidRDefault="00A82BCF" w:rsidP="00A82BCF">
      <w:pPr>
        <w:widowControl w:val="0"/>
        <w:shd w:val="clear" w:color="auto" w:fill="FFFFFF"/>
        <w:spacing w:before="120" w:after="120"/>
        <w:ind w:firstLine="709"/>
        <w:jc w:val="both"/>
        <w:rPr>
          <w:b/>
          <w:bCs/>
          <w:sz w:val="28"/>
          <w:szCs w:val="28"/>
          <w:lang w:val="en-US"/>
        </w:rPr>
      </w:pPr>
    </w:p>
    <w:p w14:paraId="2BF7953B" w14:textId="24F68D3C" w:rsidR="00A82BCF" w:rsidRPr="00A82BCF" w:rsidRDefault="00A82BCF" w:rsidP="00A82BCF">
      <w:pPr>
        <w:widowControl w:val="0"/>
        <w:shd w:val="clear" w:color="auto" w:fill="FFFFFF"/>
        <w:spacing w:before="120" w:after="120"/>
        <w:ind w:firstLine="709"/>
        <w:jc w:val="both"/>
        <w:rPr>
          <w:b/>
          <w:bCs/>
          <w:sz w:val="28"/>
          <w:szCs w:val="28"/>
          <w:lang w:val="en-US"/>
        </w:rPr>
      </w:pPr>
      <w:r w:rsidRPr="00A82BCF">
        <w:rPr>
          <w:b/>
          <w:bCs/>
          <w:sz w:val="28"/>
          <w:szCs w:val="28"/>
        </w:rPr>
        <w:lastRenderedPageBreak/>
        <w:t xml:space="preserve">Điều </w:t>
      </w:r>
      <w:r w:rsidRPr="00A82BCF">
        <w:rPr>
          <w:b/>
          <w:bCs/>
          <w:sz w:val="28"/>
          <w:szCs w:val="28"/>
          <w:lang w:val="en-US"/>
        </w:rPr>
        <w:t>4</w:t>
      </w:r>
      <w:r w:rsidRPr="00A82BCF">
        <w:rPr>
          <w:b/>
          <w:bCs/>
          <w:sz w:val="28"/>
          <w:szCs w:val="28"/>
        </w:rPr>
        <w:t>. Hiệu lực thi hành</w:t>
      </w:r>
    </w:p>
    <w:p w14:paraId="4B6C3962" w14:textId="38E70681" w:rsidR="00A82BCF" w:rsidRPr="00A82BCF" w:rsidRDefault="00A82BCF" w:rsidP="00A82BCF">
      <w:pPr>
        <w:widowControl w:val="0"/>
        <w:shd w:val="clear" w:color="auto" w:fill="FFFFFF"/>
        <w:spacing w:before="120" w:after="120"/>
        <w:ind w:firstLine="709"/>
        <w:jc w:val="both"/>
        <w:rPr>
          <w:b/>
          <w:bCs/>
          <w:sz w:val="28"/>
          <w:szCs w:val="28"/>
        </w:rPr>
      </w:pPr>
      <w:r w:rsidRPr="00A82BCF">
        <w:rPr>
          <w:sz w:val="28"/>
          <w:szCs w:val="28"/>
        </w:rPr>
        <w:t>Thông tư này có hiệu lực thi hành từ ngày 01 tháng 9 năm 2026.</w:t>
      </w:r>
    </w:p>
    <w:p w14:paraId="6E919142" w14:textId="77777777" w:rsidR="001913E1" w:rsidRPr="00A82BCF" w:rsidRDefault="001913E1" w:rsidP="00A82BCF">
      <w:pPr>
        <w:widowControl w:val="0"/>
        <w:pBdr>
          <w:top w:val="nil"/>
          <w:left w:val="nil"/>
          <w:bottom w:val="nil"/>
          <w:right w:val="nil"/>
          <w:between w:val="nil"/>
        </w:pBdr>
        <w:shd w:val="clear" w:color="auto" w:fill="FFFFFF"/>
        <w:spacing w:before="120" w:after="120"/>
        <w:ind w:firstLine="709"/>
        <w:jc w:val="both"/>
        <w:rPr>
          <w:sz w:val="28"/>
          <w:szCs w:val="28"/>
        </w:rPr>
      </w:pPr>
      <w:r w:rsidRPr="00A82BCF">
        <w:rPr>
          <w:b/>
          <w:bCs/>
          <w:sz w:val="28"/>
          <w:szCs w:val="28"/>
        </w:rPr>
        <w:t>Điều 3. Trách nhiệm thi hành</w:t>
      </w:r>
      <w:r w:rsidRPr="00A82BCF">
        <w:rPr>
          <w:sz w:val="28"/>
          <w:szCs w:val="28"/>
        </w:rPr>
        <w:t xml:space="preserve"> </w:t>
      </w:r>
    </w:p>
    <w:p w14:paraId="39289971" w14:textId="53C4DECC" w:rsidR="001913E1" w:rsidRPr="00A82BCF" w:rsidRDefault="00A82BCF" w:rsidP="00A82BCF">
      <w:pPr>
        <w:widowControl w:val="0"/>
        <w:pBdr>
          <w:top w:val="nil"/>
          <w:left w:val="nil"/>
          <w:bottom w:val="nil"/>
          <w:right w:val="nil"/>
          <w:between w:val="nil"/>
        </w:pBdr>
        <w:shd w:val="clear" w:color="auto" w:fill="FFFFFF"/>
        <w:spacing w:before="120" w:after="240"/>
        <w:ind w:firstLine="709"/>
        <w:jc w:val="both"/>
        <w:rPr>
          <w:sz w:val="28"/>
          <w:szCs w:val="28"/>
          <w:lang w:val="en-US"/>
        </w:rPr>
      </w:pPr>
      <w:r w:rsidRPr="00A82BCF">
        <w:rPr>
          <w:sz w:val="28"/>
          <w:szCs w:val="28"/>
        </w:rPr>
        <w:t>Trong quá trình triển khai, nếu phát sinh vướng mắc, các cơ quan, tổ chức, cá nhân gửi ý kiến về Bộ Văn hóa, Thể thao và Du lịch (qua Vụ Pháp chế) để được xem xét sửa đổi, bổ sung hoặc hướng dẫn kịp thời./.</w:t>
      </w:r>
    </w:p>
    <w:tbl>
      <w:tblPr>
        <w:tblW w:w="9072" w:type="dxa"/>
        <w:tblLayout w:type="fixed"/>
        <w:tblLook w:val="0000" w:firstRow="0" w:lastRow="0" w:firstColumn="0" w:lastColumn="0" w:noHBand="0" w:noVBand="0"/>
      </w:tblPr>
      <w:tblGrid>
        <w:gridCol w:w="5245"/>
        <w:gridCol w:w="3827"/>
      </w:tblGrid>
      <w:tr w:rsidR="001913E1" w14:paraId="575B5795" w14:textId="77777777" w:rsidTr="00386616">
        <w:tc>
          <w:tcPr>
            <w:tcW w:w="5245" w:type="dxa"/>
          </w:tcPr>
          <w:p w14:paraId="65936262" w14:textId="77777777" w:rsidR="001913E1" w:rsidRDefault="001913E1" w:rsidP="00386616">
            <w:pPr>
              <w:jc w:val="both"/>
              <w:rPr>
                <w:b/>
                <w:bCs/>
                <w:i/>
                <w:iCs/>
              </w:rPr>
            </w:pPr>
            <w:r>
              <w:rPr>
                <w:b/>
                <w:bCs/>
                <w:i/>
                <w:iCs/>
              </w:rPr>
              <w:t>Nơi nhận:</w:t>
            </w:r>
          </w:p>
          <w:p w14:paraId="62323DBD" w14:textId="77777777" w:rsidR="001913E1" w:rsidRDefault="001913E1" w:rsidP="00386616">
            <w:pPr>
              <w:jc w:val="both"/>
              <w:rPr>
                <w:sz w:val="22"/>
                <w:szCs w:val="22"/>
              </w:rPr>
            </w:pPr>
            <w:r>
              <w:t xml:space="preserve">- </w:t>
            </w:r>
            <w:r>
              <w:rPr>
                <w:sz w:val="22"/>
                <w:szCs w:val="22"/>
              </w:rPr>
              <w:t>Văn phòng Tổng Bí thư;</w:t>
            </w:r>
          </w:p>
          <w:p w14:paraId="3C776A54" w14:textId="77777777" w:rsidR="001913E1" w:rsidRDefault="001913E1" w:rsidP="00386616">
            <w:pPr>
              <w:jc w:val="both"/>
              <w:rPr>
                <w:sz w:val="22"/>
                <w:szCs w:val="22"/>
              </w:rPr>
            </w:pPr>
            <w:r>
              <w:rPr>
                <w:sz w:val="22"/>
                <w:szCs w:val="22"/>
              </w:rPr>
              <w:t>- Văn phòng Chủ tịch nước;</w:t>
            </w:r>
          </w:p>
          <w:p w14:paraId="4C36FD38" w14:textId="77777777" w:rsidR="001913E1" w:rsidRDefault="001913E1" w:rsidP="00386616">
            <w:pPr>
              <w:jc w:val="both"/>
              <w:rPr>
                <w:sz w:val="22"/>
                <w:szCs w:val="22"/>
              </w:rPr>
            </w:pPr>
            <w:r>
              <w:rPr>
                <w:sz w:val="22"/>
                <w:szCs w:val="22"/>
              </w:rPr>
              <w:t>- Văn phòng Quốc hội;</w:t>
            </w:r>
          </w:p>
          <w:p w14:paraId="749D2BFA" w14:textId="719CE7A0" w:rsidR="001913E1" w:rsidRDefault="001913E1" w:rsidP="00386616">
            <w:pPr>
              <w:jc w:val="both"/>
              <w:rPr>
                <w:sz w:val="22"/>
                <w:szCs w:val="22"/>
              </w:rPr>
            </w:pPr>
            <w:r>
              <w:rPr>
                <w:sz w:val="22"/>
                <w:szCs w:val="22"/>
              </w:rPr>
              <w:t>- Thủ tướng C</w:t>
            </w:r>
            <w:r w:rsidRPr="001913E1">
              <w:rPr>
                <w:sz w:val="22"/>
                <w:szCs w:val="22"/>
              </w:rPr>
              <w:t xml:space="preserve">P </w:t>
            </w:r>
            <w:r>
              <w:rPr>
                <w:sz w:val="22"/>
                <w:szCs w:val="22"/>
              </w:rPr>
              <w:t>và các Phó Thủ tướng C</w:t>
            </w:r>
            <w:r w:rsidRPr="001913E1">
              <w:rPr>
                <w:sz w:val="22"/>
                <w:szCs w:val="22"/>
              </w:rPr>
              <w:t>P</w:t>
            </w:r>
            <w:r>
              <w:rPr>
                <w:sz w:val="22"/>
                <w:szCs w:val="22"/>
              </w:rPr>
              <w:t>;</w:t>
            </w:r>
          </w:p>
          <w:p w14:paraId="4CACFF78" w14:textId="77777777" w:rsidR="001913E1" w:rsidRDefault="001913E1" w:rsidP="00386616">
            <w:pPr>
              <w:jc w:val="both"/>
              <w:rPr>
                <w:sz w:val="22"/>
                <w:szCs w:val="22"/>
              </w:rPr>
            </w:pPr>
            <w:r>
              <w:rPr>
                <w:sz w:val="22"/>
                <w:szCs w:val="22"/>
              </w:rPr>
              <w:t>- Các Bộ, cơ quan ngang Bộ, cơ quan thuộc CP;</w:t>
            </w:r>
          </w:p>
          <w:p w14:paraId="23D17CEE" w14:textId="77777777" w:rsidR="001913E1" w:rsidRDefault="001913E1" w:rsidP="00386616">
            <w:pPr>
              <w:jc w:val="both"/>
              <w:rPr>
                <w:sz w:val="22"/>
                <w:szCs w:val="22"/>
              </w:rPr>
            </w:pPr>
            <w:r>
              <w:rPr>
                <w:sz w:val="22"/>
                <w:szCs w:val="22"/>
              </w:rPr>
              <w:t>- Viện KSNDTC;</w:t>
            </w:r>
          </w:p>
          <w:p w14:paraId="36B2843D" w14:textId="77777777" w:rsidR="001913E1" w:rsidRDefault="001913E1" w:rsidP="00386616">
            <w:pPr>
              <w:jc w:val="both"/>
              <w:rPr>
                <w:sz w:val="22"/>
                <w:szCs w:val="22"/>
              </w:rPr>
            </w:pPr>
            <w:r>
              <w:rPr>
                <w:sz w:val="22"/>
                <w:szCs w:val="22"/>
              </w:rPr>
              <w:t>- Tòa án NDTC;</w:t>
            </w:r>
          </w:p>
          <w:p w14:paraId="7987E076" w14:textId="77777777" w:rsidR="001913E1" w:rsidRDefault="001913E1" w:rsidP="00386616">
            <w:pPr>
              <w:jc w:val="both"/>
              <w:rPr>
                <w:sz w:val="22"/>
                <w:szCs w:val="22"/>
              </w:rPr>
            </w:pPr>
            <w:r>
              <w:rPr>
                <w:sz w:val="22"/>
                <w:szCs w:val="22"/>
              </w:rPr>
              <w:t>- Kiểm toán Nhà nước;</w:t>
            </w:r>
          </w:p>
          <w:p w14:paraId="6CBB19EF" w14:textId="12615BE5" w:rsidR="001913E1" w:rsidRPr="00C8668A" w:rsidRDefault="001913E1" w:rsidP="00386616">
            <w:pPr>
              <w:jc w:val="both"/>
              <w:rPr>
                <w:sz w:val="22"/>
                <w:szCs w:val="22"/>
              </w:rPr>
            </w:pPr>
            <w:r>
              <w:rPr>
                <w:sz w:val="22"/>
                <w:szCs w:val="22"/>
              </w:rPr>
              <w:t xml:space="preserve">- </w:t>
            </w:r>
            <w:r w:rsidRPr="001913E1">
              <w:rPr>
                <w:sz w:val="22"/>
                <w:szCs w:val="22"/>
              </w:rPr>
              <w:t xml:space="preserve">Cục KTVB &amp; Tổ chức THPL - </w:t>
            </w:r>
            <w:r>
              <w:rPr>
                <w:sz w:val="22"/>
                <w:szCs w:val="22"/>
              </w:rPr>
              <w:t>Bộ Tư pháp;</w:t>
            </w:r>
          </w:p>
          <w:p w14:paraId="60DEC475" w14:textId="77777777" w:rsidR="001913E1" w:rsidRDefault="001913E1" w:rsidP="00386616">
            <w:pPr>
              <w:jc w:val="both"/>
              <w:rPr>
                <w:sz w:val="22"/>
                <w:szCs w:val="22"/>
              </w:rPr>
            </w:pPr>
            <w:r>
              <w:rPr>
                <w:sz w:val="22"/>
                <w:szCs w:val="22"/>
              </w:rPr>
              <w:t>- Bộ VHTTDL: Bộ trưởng, các Thứ trưởng, các cơ quan, đơn vị thuộc, trực thuộc Bộ;</w:t>
            </w:r>
          </w:p>
          <w:p w14:paraId="5D23A63A" w14:textId="6299A8B4" w:rsidR="001913E1" w:rsidRDefault="001913E1" w:rsidP="00386616">
            <w:pPr>
              <w:jc w:val="both"/>
              <w:rPr>
                <w:sz w:val="22"/>
                <w:szCs w:val="22"/>
              </w:rPr>
            </w:pPr>
            <w:r>
              <w:rPr>
                <w:sz w:val="22"/>
                <w:szCs w:val="22"/>
              </w:rPr>
              <w:t>- UBND, HĐND các tỉnh, thành phố trực thuộc TW;</w:t>
            </w:r>
            <w:r>
              <w:rPr>
                <w:sz w:val="22"/>
                <w:szCs w:val="22"/>
              </w:rPr>
              <w:br/>
            </w:r>
            <w:r w:rsidRPr="003228BA">
              <w:rPr>
                <w:spacing w:val="-8"/>
                <w:sz w:val="22"/>
                <w:szCs w:val="22"/>
              </w:rPr>
              <w:t>- Sở VHTTDL, Sở VHTT, Sở D</w:t>
            </w:r>
            <w:r w:rsidR="003228BA" w:rsidRPr="003228BA">
              <w:rPr>
                <w:spacing w:val="-8"/>
                <w:sz w:val="22"/>
                <w:szCs w:val="22"/>
              </w:rPr>
              <w:t xml:space="preserve">L </w:t>
            </w:r>
            <w:r w:rsidRPr="003228BA">
              <w:rPr>
                <w:spacing w:val="-8"/>
                <w:sz w:val="22"/>
                <w:szCs w:val="22"/>
              </w:rPr>
              <w:t>các tỉnh, TP trực thuộc TW;</w:t>
            </w:r>
          </w:p>
          <w:p w14:paraId="3BACE439" w14:textId="77777777" w:rsidR="001913E1" w:rsidRDefault="001913E1" w:rsidP="00386616">
            <w:pPr>
              <w:jc w:val="both"/>
              <w:rPr>
                <w:sz w:val="22"/>
                <w:szCs w:val="22"/>
              </w:rPr>
            </w:pPr>
            <w:r>
              <w:rPr>
                <w:sz w:val="22"/>
                <w:szCs w:val="22"/>
              </w:rPr>
              <w:t>- Website Chính phủ; Website Bộ VHTTDL;</w:t>
            </w:r>
          </w:p>
          <w:p w14:paraId="72BC40C9" w14:textId="77777777" w:rsidR="001913E1" w:rsidRDefault="001913E1" w:rsidP="00386616">
            <w:pPr>
              <w:jc w:val="both"/>
              <w:rPr>
                <w:sz w:val="22"/>
                <w:szCs w:val="22"/>
              </w:rPr>
            </w:pPr>
            <w:r>
              <w:rPr>
                <w:sz w:val="22"/>
                <w:szCs w:val="22"/>
              </w:rPr>
              <w:t>- Công báo Chính phủ;</w:t>
            </w:r>
          </w:p>
          <w:p w14:paraId="3B0E564E" w14:textId="77777777" w:rsidR="001913E1" w:rsidRDefault="001913E1" w:rsidP="00386616">
            <w:pPr>
              <w:jc w:val="both"/>
            </w:pPr>
            <w:r>
              <w:rPr>
                <w:sz w:val="22"/>
                <w:szCs w:val="22"/>
              </w:rPr>
              <w:t xml:space="preserve">- Lưu: VT, PC, </w:t>
            </w:r>
            <w:r>
              <w:rPr>
                <w:sz w:val="18"/>
                <w:szCs w:val="18"/>
              </w:rPr>
              <w:t>H 450b.</w:t>
            </w:r>
          </w:p>
        </w:tc>
        <w:tc>
          <w:tcPr>
            <w:tcW w:w="3827" w:type="dxa"/>
          </w:tcPr>
          <w:p w14:paraId="3011CEC5" w14:textId="77777777" w:rsidR="001913E1" w:rsidRDefault="001913E1" w:rsidP="00386616">
            <w:pPr>
              <w:jc w:val="center"/>
              <w:rPr>
                <w:b/>
                <w:bCs/>
                <w:sz w:val="28"/>
                <w:szCs w:val="28"/>
              </w:rPr>
            </w:pPr>
            <w:r>
              <w:rPr>
                <w:b/>
                <w:bCs/>
                <w:sz w:val="28"/>
                <w:szCs w:val="28"/>
              </w:rPr>
              <w:t>BỘ TRƯỞNG</w:t>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p>
          <w:p w14:paraId="723685CE" w14:textId="77777777" w:rsidR="001913E1" w:rsidRDefault="001913E1" w:rsidP="00386616">
            <w:pPr>
              <w:jc w:val="center"/>
              <w:rPr>
                <w:b/>
                <w:bCs/>
                <w:sz w:val="28"/>
                <w:szCs w:val="28"/>
                <w:lang w:val="en-US"/>
              </w:rPr>
            </w:pPr>
          </w:p>
          <w:p w14:paraId="36362CA4" w14:textId="6533FB55" w:rsidR="00A82BCF" w:rsidRPr="00A82BCF" w:rsidRDefault="00A82BCF" w:rsidP="00386616">
            <w:pPr>
              <w:jc w:val="center"/>
              <w:rPr>
                <w:b/>
                <w:bCs/>
                <w:sz w:val="28"/>
                <w:szCs w:val="28"/>
                <w:lang w:val="en-US"/>
              </w:rPr>
            </w:pPr>
            <w:r>
              <w:rPr>
                <w:b/>
                <w:bCs/>
                <w:sz w:val="28"/>
                <w:szCs w:val="28"/>
                <w:lang w:val="en-US"/>
              </w:rPr>
              <w:t>Lâm Thị Phương Thanh</w:t>
            </w:r>
          </w:p>
        </w:tc>
      </w:tr>
    </w:tbl>
    <w:p w14:paraId="2C74C090" w14:textId="77777777" w:rsidR="000947CE" w:rsidRPr="001913E1" w:rsidRDefault="000947CE">
      <w:pPr>
        <w:rPr>
          <w:lang w:val="en-US"/>
        </w:rPr>
      </w:pPr>
    </w:p>
    <w:sectPr w:rsidR="000947CE" w:rsidRPr="001913E1" w:rsidSect="001913E1">
      <w:headerReference w:type="default" r:id="rId7"/>
      <w:type w:val="continuous"/>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ED0F" w14:textId="77777777" w:rsidR="00A13E06" w:rsidRDefault="00A13E06">
      <w:r>
        <w:separator/>
      </w:r>
    </w:p>
  </w:endnote>
  <w:endnote w:type="continuationSeparator" w:id="0">
    <w:p w14:paraId="0D2AB86F" w14:textId="77777777" w:rsidR="00A13E06" w:rsidRDefault="00A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6D7B" w14:textId="77777777" w:rsidR="00A13E06" w:rsidRDefault="00A13E06">
      <w:r>
        <w:separator/>
      </w:r>
    </w:p>
  </w:footnote>
  <w:footnote w:type="continuationSeparator" w:id="0">
    <w:p w14:paraId="47D81019" w14:textId="77777777" w:rsidR="00A13E06" w:rsidRDefault="00A1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5944" w14:textId="77777777" w:rsidR="001913E1" w:rsidRDefault="001913E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A56374E" w14:textId="77777777" w:rsidR="001913E1" w:rsidRDefault="001913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33E8"/>
    <w:multiLevelType w:val="hybridMultilevel"/>
    <w:tmpl w:val="0D6EBAD0"/>
    <w:lvl w:ilvl="0" w:tplc="324AD1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2560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E1"/>
    <w:rsid w:val="000338E9"/>
    <w:rsid w:val="000947CE"/>
    <w:rsid w:val="00181938"/>
    <w:rsid w:val="001913E1"/>
    <w:rsid w:val="001C1EFA"/>
    <w:rsid w:val="001C5670"/>
    <w:rsid w:val="00291563"/>
    <w:rsid w:val="003228BA"/>
    <w:rsid w:val="0033740E"/>
    <w:rsid w:val="0038463A"/>
    <w:rsid w:val="00944A2F"/>
    <w:rsid w:val="00A13E06"/>
    <w:rsid w:val="00A82BCF"/>
    <w:rsid w:val="00BD1D47"/>
    <w:rsid w:val="00C83E03"/>
    <w:rsid w:val="00E92133"/>
    <w:rsid w:val="00FE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36B1"/>
  <w15:chartTrackingRefBased/>
  <w15:docId w15:val="{A5F5F0A7-6A68-4BC3-8851-700E602C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13E1"/>
    <w:pPr>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191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E1"/>
    <w:rPr>
      <w:rFonts w:eastAsiaTheme="majorEastAsia" w:cstheme="majorBidi"/>
      <w:color w:val="272727" w:themeColor="text1" w:themeTint="D8"/>
    </w:rPr>
  </w:style>
  <w:style w:type="paragraph" w:styleId="Title">
    <w:name w:val="Title"/>
    <w:basedOn w:val="Normal"/>
    <w:next w:val="Normal"/>
    <w:link w:val="TitleChar"/>
    <w:uiPriority w:val="10"/>
    <w:qFormat/>
    <w:rsid w:val="00191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E1"/>
    <w:pPr>
      <w:spacing w:before="160"/>
      <w:jc w:val="center"/>
    </w:pPr>
    <w:rPr>
      <w:i/>
      <w:iCs/>
      <w:color w:val="404040" w:themeColor="text1" w:themeTint="BF"/>
    </w:rPr>
  </w:style>
  <w:style w:type="character" w:customStyle="1" w:styleId="QuoteChar">
    <w:name w:val="Quote Char"/>
    <w:basedOn w:val="DefaultParagraphFont"/>
    <w:link w:val="Quote"/>
    <w:uiPriority w:val="29"/>
    <w:rsid w:val="001913E1"/>
    <w:rPr>
      <w:i/>
      <w:iCs/>
      <w:color w:val="404040" w:themeColor="text1" w:themeTint="BF"/>
    </w:rPr>
  </w:style>
  <w:style w:type="paragraph" w:styleId="ListParagraph">
    <w:name w:val="List Paragraph"/>
    <w:basedOn w:val="Normal"/>
    <w:uiPriority w:val="34"/>
    <w:qFormat/>
    <w:rsid w:val="001913E1"/>
    <w:pPr>
      <w:ind w:left="720"/>
      <w:contextualSpacing/>
    </w:pPr>
  </w:style>
  <w:style w:type="character" w:styleId="IntenseEmphasis">
    <w:name w:val="Intense Emphasis"/>
    <w:basedOn w:val="DefaultParagraphFont"/>
    <w:uiPriority w:val="21"/>
    <w:qFormat/>
    <w:rsid w:val="001913E1"/>
    <w:rPr>
      <w:i/>
      <w:iCs/>
      <w:color w:val="2F5496" w:themeColor="accent1" w:themeShade="BF"/>
    </w:rPr>
  </w:style>
  <w:style w:type="paragraph" w:styleId="IntenseQuote">
    <w:name w:val="Intense Quote"/>
    <w:basedOn w:val="Normal"/>
    <w:next w:val="Normal"/>
    <w:link w:val="IntenseQuoteChar"/>
    <w:uiPriority w:val="30"/>
    <w:qFormat/>
    <w:rsid w:val="00191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3E1"/>
    <w:rPr>
      <w:i/>
      <w:iCs/>
      <w:color w:val="2F5496" w:themeColor="accent1" w:themeShade="BF"/>
    </w:rPr>
  </w:style>
  <w:style w:type="character" w:styleId="IntenseReference">
    <w:name w:val="Intense Reference"/>
    <w:basedOn w:val="DefaultParagraphFont"/>
    <w:uiPriority w:val="32"/>
    <w:qFormat/>
    <w:rsid w:val="00191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dc:creator>
  <cp:keywords/>
  <dc:description/>
  <cp:lastModifiedBy>Thanh Nguyen</cp:lastModifiedBy>
  <cp:revision>7</cp:revision>
  <dcterms:created xsi:type="dcterms:W3CDTF">2026-04-16T08:58:00Z</dcterms:created>
  <dcterms:modified xsi:type="dcterms:W3CDTF">2026-04-29T02:58:00Z</dcterms:modified>
</cp:coreProperties>
</file>